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2F" w:rsidRPr="000F331E" w:rsidRDefault="005C012F" w:rsidP="005C012F">
      <w:pPr>
        <w:spacing w:after="0" w:line="240" w:lineRule="auto"/>
        <w:rPr>
          <w:rFonts w:eastAsia="Times New Roman" w:cs="Times New Roman"/>
          <w:b/>
          <w:sz w:val="24"/>
          <w:szCs w:val="24"/>
        </w:rPr>
      </w:pPr>
      <w:r w:rsidRPr="000F331E">
        <w:rPr>
          <w:rFonts w:eastAsia="Times New Roman" w:cs="Arial"/>
          <w:b/>
          <w:color w:val="000000"/>
        </w:rPr>
        <w:t>CASTA Notes</w:t>
      </w:r>
      <w:r w:rsidR="004A4150" w:rsidRPr="000F331E">
        <w:rPr>
          <w:rFonts w:eastAsia="Times New Roman" w:cs="Arial"/>
          <w:b/>
          <w:color w:val="000000"/>
        </w:rPr>
        <w:t xml:space="preserve"> </w:t>
      </w:r>
      <w:r w:rsidR="0036545C" w:rsidRPr="000F331E">
        <w:rPr>
          <w:rFonts w:eastAsia="Times New Roman" w:cs="Arial"/>
          <w:b/>
          <w:color w:val="000000"/>
        </w:rPr>
        <w:t>from</w:t>
      </w:r>
      <w:r w:rsidR="004A4150" w:rsidRPr="000F331E">
        <w:rPr>
          <w:rFonts w:eastAsia="Times New Roman" w:cs="Arial"/>
          <w:b/>
          <w:color w:val="000000"/>
        </w:rPr>
        <w:t xml:space="preserve"> the CDOT February 1, 2017, 5311 Sub Committee Meeting</w:t>
      </w:r>
    </w:p>
    <w:p w:rsidR="005C012F" w:rsidRPr="000F331E" w:rsidRDefault="005C012F" w:rsidP="005C012F">
      <w:pPr>
        <w:spacing w:after="0" w:line="240" w:lineRule="auto"/>
        <w:rPr>
          <w:rFonts w:eastAsia="Times New Roman" w:cs="Times New Roman"/>
          <w:sz w:val="24"/>
          <w:szCs w:val="24"/>
        </w:rPr>
      </w:pPr>
    </w:p>
    <w:p w:rsidR="005C012F" w:rsidRPr="000F331E" w:rsidRDefault="005C012F" w:rsidP="005C012F">
      <w:pPr>
        <w:spacing w:after="0" w:line="240" w:lineRule="auto"/>
        <w:rPr>
          <w:rFonts w:eastAsia="Times New Roman" w:cs="Times New Roman"/>
          <w:sz w:val="24"/>
          <w:szCs w:val="24"/>
        </w:rPr>
      </w:pPr>
      <w:r w:rsidRPr="000F331E">
        <w:rPr>
          <w:rFonts w:eastAsia="Times New Roman" w:cs="Arial"/>
          <w:color w:val="000000"/>
        </w:rPr>
        <w:t>During the last 5311 Sub Committee meeting the group started pulling together around a possible solution that may provide the transparency and fairness that is the goal.  Despite everyone’s desire for a simple formula solution the diversity of the agencies in Colorado makes a one size fits all formula impossible.</w:t>
      </w:r>
    </w:p>
    <w:p w:rsidR="005C012F" w:rsidRPr="000F331E" w:rsidRDefault="005C012F" w:rsidP="005C012F">
      <w:pPr>
        <w:spacing w:after="0" w:line="240" w:lineRule="auto"/>
        <w:rPr>
          <w:rFonts w:eastAsia="Times New Roman" w:cs="Times New Roman"/>
          <w:sz w:val="24"/>
          <w:szCs w:val="24"/>
        </w:rPr>
      </w:pPr>
    </w:p>
    <w:p w:rsidR="005C012F" w:rsidRPr="000F331E" w:rsidRDefault="005C012F" w:rsidP="005C012F">
      <w:pPr>
        <w:spacing w:after="0" w:line="240" w:lineRule="auto"/>
        <w:rPr>
          <w:rFonts w:eastAsia="Times New Roman" w:cs="Times New Roman"/>
          <w:b/>
          <w:sz w:val="24"/>
          <w:szCs w:val="24"/>
        </w:rPr>
      </w:pPr>
      <w:r w:rsidRPr="000F331E">
        <w:rPr>
          <w:rFonts w:eastAsia="Times New Roman" w:cs="Arial"/>
          <w:b/>
          <w:color w:val="000000"/>
        </w:rPr>
        <w:t>The solution that is beginning to emerge has the following parts:</w:t>
      </w:r>
    </w:p>
    <w:p w:rsidR="005C012F" w:rsidRPr="000F331E" w:rsidRDefault="005C012F" w:rsidP="005C012F">
      <w:pPr>
        <w:spacing w:after="0" w:line="240" w:lineRule="auto"/>
        <w:rPr>
          <w:rFonts w:eastAsia="Times New Roman" w:cs="Times New Roman"/>
          <w:sz w:val="24"/>
          <w:szCs w:val="24"/>
        </w:rPr>
      </w:pPr>
    </w:p>
    <w:p w:rsidR="005C012F" w:rsidRPr="000F331E" w:rsidRDefault="005C012F" w:rsidP="005C012F">
      <w:pPr>
        <w:numPr>
          <w:ilvl w:val="0"/>
          <w:numId w:val="1"/>
        </w:numPr>
        <w:spacing w:after="0" w:line="240" w:lineRule="auto"/>
        <w:textAlignment w:val="baseline"/>
        <w:rPr>
          <w:rFonts w:eastAsia="Times New Roman" w:cs="Arial"/>
          <w:color w:val="000000"/>
        </w:rPr>
      </w:pPr>
      <w:r w:rsidRPr="000F331E">
        <w:rPr>
          <w:rFonts w:eastAsia="Times New Roman" w:cs="Arial"/>
          <w:color w:val="000000"/>
        </w:rPr>
        <w:t>Agencies are grouped into size categories based on vehicle revenue miles, riders, 2014 budget, total revenue hours and cost per hour.</w:t>
      </w:r>
    </w:p>
    <w:p w:rsidR="005C012F" w:rsidRPr="000F331E" w:rsidRDefault="005C012F" w:rsidP="005C012F">
      <w:pPr>
        <w:spacing w:after="0" w:line="240" w:lineRule="auto"/>
        <w:ind w:left="720"/>
        <w:textAlignment w:val="baseline"/>
        <w:rPr>
          <w:rFonts w:eastAsia="Times New Roman" w:cs="Arial"/>
          <w:color w:val="000000"/>
        </w:rPr>
      </w:pPr>
    </w:p>
    <w:p w:rsidR="005C012F" w:rsidRPr="000F331E" w:rsidRDefault="005C012F" w:rsidP="005C012F">
      <w:pPr>
        <w:spacing w:after="0" w:line="240" w:lineRule="auto"/>
        <w:ind w:left="720"/>
        <w:textAlignment w:val="baseline"/>
        <w:rPr>
          <w:rFonts w:eastAsia="Times New Roman" w:cs="Arial"/>
          <w:color w:val="000000"/>
        </w:rPr>
      </w:pPr>
    </w:p>
    <w:tbl>
      <w:tblPr>
        <w:tblW w:w="6920" w:type="dxa"/>
        <w:tblInd w:w="990" w:type="dxa"/>
        <w:tblLook w:val="04A0" w:firstRow="1" w:lastRow="0" w:firstColumn="1" w:lastColumn="0" w:noHBand="0" w:noVBand="1"/>
      </w:tblPr>
      <w:tblGrid>
        <w:gridCol w:w="1500"/>
        <w:gridCol w:w="1800"/>
        <w:gridCol w:w="1020"/>
        <w:gridCol w:w="1660"/>
        <w:gridCol w:w="940"/>
      </w:tblGrid>
      <w:tr w:rsidR="005C012F" w:rsidRPr="000F331E" w:rsidTr="00CB1B33">
        <w:trPr>
          <w:trHeight w:val="320"/>
        </w:trPr>
        <w:tc>
          <w:tcPr>
            <w:tcW w:w="150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sz w:val="24"/>
                <w:szCs w:val="24"/>
              </w:rPr>
            </w:pPr>
          </w:p>
        </w:tc>
        <w:tc>
          <w:tcPr>
            <w:tcW w:w="1800" w:type="dxa"/>
            <w:tcBorders>
              <w:top w:val="nil"/>
              <w:left w:val="nil"/>
              <w:bottom w:val="nil"/>
              <w:right w:val="nil"/>
            </w:tcBorders>
            <w:shd w:val="clear" w:color="auto" w:fill="auto"/>
            <w:noWrap/>
            <w:vAlign w:val="center"/>
            <w:hideMark/>
          </w:tcPr>
          <w:p w:rsidR="005C012F" w:rsidRPr="000F331E" w:rsidRDefault="005C012F" w:rsidP="005C012F">
            <w:pPr>
              <w:spacing w:after="0" w:line="240" w:lineRule="auto"/>
              <w:jc w:val="center"/>
              <w:rPr>
                <w:rFonts w:eastAsia="Times New Roman" w:cstheme="minorHAnsi"/>
                <w:b/>
                <w:bCs/>
                <w:sz w:val="20"/>
                <w:szCs w:val="20"/>
              </w:rPr>
            </w:pPr>
            <w:r w:rsidRPr="000F331E">
              <w:rPr>
                <w:rFonts w:eastAsia="Times New Roman" w:cstheme="minorHAnsi"/>
                <w:b/>
                <w:bCs/>
                <w:sz w:val="20"/>
                <w:szCs w:val="20"/>
              </w:rPr>
              <w:t>Revenue Miles</w:t>
            </w:r>
          </w:p>
        </w:tc>
        <w:tc>
          <w:tcPr>
            <w:tcW w:w="102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b/>
                <w:bCs/>
                <w:sz w:val="20"/>
                <w:szCs w:val="20"/>
              </w:rPr>
            </w:pPr>
            <w:r w:rsidRPr="000F331E">
              <w:rPr>
                <w:rFonts w:eastAsia="Times New Roman" w:cstheme="minorHAnsi"/>
                <w:b/>
                <w:bCs/>
                <w:sz w:val="20"/>
                <w:szCs w:val="20"/>
              </w:rPr>
              <w:t>Systems</w:t>
            </w:r>
          </w:p>
        </w:tc>
        <w:tc>
          <w:tcPr>
            <w:tcW w:w="166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b/>
                <w:bCs/>
                <w:sz w:val="20"/>
                <w:szCs w:val="20"/>
              </w:rPr>
            </w:pPr>
            <w:r w:rsidRPr="000F331E">
              <w:rPr>
                <w:rFonts w:eastAsia="Times New Roman" w:cstheme="minorHAnsi"/>
                <w:b/>
                <w:bCs/>
                <w:sz w:val="20"/>
                <w:szCs w:val="20"/>
              </w:rPr>
              <w:t>Riders</w:t>
            </w:r>
          </w:p>
        </w:tc>
        <w:tc>
          <w:tcPr>
            <w:tcW w:w="94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b/>
                <w:bCs/>
                <w:sz w:val="20"/>
                <w:szCs w:val="20"/>
              </w:rPr>
            </w:pPr>
            <w:r w:rsidRPr="000F331E">
              <w:rPr>
                <w:rFonts w:eastAsia="Times New Roman" w:cstheme="minorHAnsi"/>
                <w:b/>
                <w:bCs/>
                <w:sz w:val="20"/>
                <w:szCs w:val="20"/>
              </w:rPr>
              <w:t>Systems</w:t>
            </w:r>
          </w:p>
        </w:tc>
      </w:tr>
      <w:tr w:rsidR="005C012F" w:rsidRPr="000F331E" w:rsidTr="00CB1B33">
        <w:trPr>
          <w:trHeight w:val="320"/>
        </w:trPr>
        <w:tc>
          <w:tcPr>
            <w:tcW w:w="1500" w:type="dxa"/>
            <w:tcBorders>
              <w:top w:val="single" w:sz="4" w:space="0" w:color="auto"/>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b/>
                <w:bCs/>
                <w:sz w:val="20"/>
                <w:szCs w:val="20"/>
              </w:rPr>
            </w:pPr>
            <w:r w:rsidRPr="000F331E">
              <w:rPr>
                <w:rFonts w:eastAsia="Times New Roman" w:cstheme="minorHAnsi"/>
                <w:b/>
                <w:bCs/>
                <w:sz w:val="20"/>
                <w:szCs w:val="20"/>
              </w:rPr>
              <w:t>Small</w:t>
            </w:r>
          </w:p>
        </w:tc>
        <w:tc>
          <w:tcPr>
            <w:tcW w:w="1800" w:type="dxa"/>
            <w:tcBorders>
              <w:top w:val="single" w:sz="4" w:space="0" w:color="auto"/>
              <w:left w:val="nil"/>
              <w:bottom w:val="nil"/>
              <w:right w:val="single" w:sz="4" w:space="0" w:color="auto"/>
            </w:tcBorders>
            <w:shd w:val="clear" w:color="auto" w:fill="auto"/>
            <w:noWrap/>
            <w:vAlign w:val="center"/>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 xml:space="preserve"> &lt; 100,000 miles</w:t>
            </w:r>
          </w:p>
        </w:tc>
        <w:tc>
          <w:tcPr>
            <w:tcW w:w="1020" w:type="dxa"/>
            <w:tcBorders>
              <w:top w:val="single" w:sz="4" w:space="0" w:color="auto"/>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r w:rsidRPr="000F331E">
              <w:rPr>
                <w:rFonts w:eastAsia="Times New Roman" w:cstheme="minorHAnsi"/>
                <w:color w:val="000000"/>
                <w:sz w:val="20"/>
                <w:szCs w:val="20"/>
              </w:rPr>
              <w:t>12</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&lt;20,000</w:t>
            </w:r>
          </w:p>
        </w:tc>
        <w:tc>
          <w:tcPr>
            <w:tcW w:w="940" w:type="dxa"/>
            <w:tcBorders>
              <w:top w:val="single" w:sz="4" w:space="0" w:color="auto"/>
              <w:left w:val="nil"/>
              <w:bottom w:val="nil"/>
              <w:right w:val="single" w:sz="4" w:space="0" w:color="auto"/>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r w:rsidRPr="000F331E">
              <w:rPr>
                <w:rFonts w:eastAsia="Times New Roman" w:cstheme="minorHAnsi"/>
                <w:color w:val="000000"/>
                <w:sz w:val="20"/>
                <w:szCs w:val="20"/>
              </w:rPr>
              <w:t>11</w:t>
            </w:r>
          </w:p>
        </w:tc>
      </w:tr>
      <w:tr w:rsidR="005C012F" w:rsidRPr="000F331E" w:rsidTr="00CB1B33">
        <w:trPr>
          <w:trHeight w:val="320"/>
        </w:trPr>
        <w:tc>
          <w:tcPr>
            <w:tcW w:w="1500" w:type="dxa"/>
            <w:tcBorders>
              <w:top w:val="nil"/>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b/>
                <w:bCs/>
                <w:sz w:val="20"/>
                <w:szCs w:val="20"/>
              </w:rPr>
            </w:pPr>
            <w:r w:rsidRPr="000F331E">
              <w:rPr>
                <w:rFonts w:eastAsia="Times New Roman" w:cstheme="minorHAnsi"/>
                <w:b/>
                <w:bCs/>
                <w:sz w:val="20"/>
                <w:szCs w:val="20"/>
              </w:rPr>
              <w:t>Medium</w:t>
            </w:r>
          </w:p>
        </w:tc>
        <w:tc>
          <w:tcPr>
            <w:tcW w:w="1800" w:type="dxa"/>
            <w:tcBorders>
              <w:top w:val="nil"/>
              <w:left w:val="nil"/>
              <w:bottom w:val="nil"/>
              <w:right w:val="single" w:sz="4" w:space="0" w:color="auto"/>
            </w:tcBorders>
            <w:shd w:val="clear" w:color="auto" w:fill="auto"/>
            <w:noWrap/>
            <w:vAlign w:val="center"/>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 xml:space="preserve"> 101,000 - 200,000</w:t>
            </w:r>
          </w:p>
        </w:tc>
        <w:tc>
          <w:tcPr>
            <w:tcW w:w="102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r w:rsidRPr="000F331E">
              <w:rPr>
                <w:rFonts w:eastAsia="Times New Roman" w:cstheme="minorHAnsi"/>
                <w:color w:val="000000"/>
                <w:sz w:val="20"/>
                <w:szCs w:val="20"/>
              </w:rPr>
              <w:t>8</w:t>
            </w:r>
          </w:p>
        </w:tc>
        <w:tc>
          <w:tcPr>
            <w:tcW w:w="1660" w:type="dxa"/>
            <w:tcBorders>
              <w:top w:val="nil"/>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20,000 - 100,000</w:t>
            </w:r>
          </w:p>
        </w:tc>
        <w:tc>
          <w:tcPr>
            <w:tcW w:w="940" w:type="dxa"/>
            <w:tcBorders>
              <w:top w:val="nil"/>
              <w:left w:val="nil"/>
              <w:bottom w:val="nil"/>
              <w:right w:val="single" w:sz="4" w:space="0" w:color="auto"/>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r w:rsidRPr="000F331E">
              <w:rPr>
                <w:rFonts w:eastAsia="Times New Roman" w:cstheme="minorHAnsi"/>
                <w:color w:val="000000"/>
                <w:sz w:val="20"/>
                <w:szCs w:val="20"/>
              </w:rPr>
              <w:t>10</w:t>
            </w:r>
          </w:p>
        </w:tc>
      </w:tr>
      <w:tr w:rsidR="005C012F" w:rsidRPr="000F331E" w:rsidTr="00CB1B33">
        <w:trPr>
          <w:trHeight w:val="320"/>
        </w:trPr>
        <w:tc>
          <w:tcPr>
            <w:tcW w:w="1500" w:type="dxa"/>
            <w:tcBorders>
              <w:top w:val="nil"/>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b/>
                <w:bCs/>
                <w:sz w:val="20"/>
                <w:szCs w:val="20"/>
              </w:rPr>
            </w:pPr>
            <w:r w:rsidRPr="000F331E">
              <w:rPr>
                <w:rFonts w:eastAsia="Times New Roman" w:cstheme="minorHAnsi"/>
                <w:b/>
                <w:bCs/>
                <w:sz w:val="20"/>
                <w:szCs w:val="20"/>
              </w:rPr>
              <w:t>Large</w:t>
            </w:r>
          </w:p>
        </w:tc>
        <w:tc>
          <w:tcPr>
            <w:tcW w:w="1800" w:type="dxa"/>
            <w:tcBorders>
              <w:top w:val="nil"/>
              <w:left w:val="nil"/>
              <w:bottom w:val="nil"/>
              <w:right w:val="single" w:sz="4" w:space="0" w:color="auto"/>
            </w:tcBorders>
            <w:shd w:val="clear" w:color="auto" w:fill="auto"/>
            <w:noWrap/>
            <w:vAlign w:val="center"/>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 xml:space="preserve"> 200,000 - 999,000</w:t>
            </w:r>
          </w:p>
        </w:tc>
        <w:tc>
          <w:tcPr>
            <w:tcW w:w="102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r w:rsidRPr="000F331E">
              <w:rPr>
                <w:rFonts w:eastAsia="Times New Roman" w:cstheme="minorHAnsi"/>
                <w:color w:val="000000"/>
                <w:sz w:val="20"/>
                <w:szCs w:val="20"/>
              </w:rPr>
              <w:t>10</w:t>
            </w:r>
          </w:p>
        </w:tc>
        <w:tc>
          <w:tcPr>
            <w:tcW w:w="1660" w:type="dxa"/>
            <w:tcBorders>
              <w:top w:val="nil"/>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100,000 - 1,000000</w:t>
            </w:r>
          </w:p>
        </w:tc>
        <w:tc>
          <w:tcPr>
            <w:tcW w:w="940" w:type="dxa"/>
            <w:tcBorders>
              <w:top w:val="nil"/>
              <w:left w:val="nil"/>
              <w:bottom w:val="nil"/>
              <w:right w:val="single" w:sz="4" w:space="0" w:color="auto"/>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r w:rsidRPr="000F331E">
              <w:rPr>
                <w:rFonts w:eastAsia="Times New Roman" w:cstheme="minorHAnsi"/>
                <w:color w:val="000000"/>
                <w:sz w:val="20"/>
                <w:szCs w:val="20"/>
              </w:rPr>
              <w:t>9</w:t>
            </w:r>
          </w:p>
        </w:tc>
      </w:tr>
      <w:tr w:rsidR="005C012F" w:rsidRPr="000F331E" w:rsidTr="00CB1B33">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b/>
                <w:bCs/>
                <w:sz w:val="20"/>
                <w:szCs w:val="20"/>
              </w:rPr>
            </w:pPr>
            <w:r w:rsidRPr="000F331E">
              <w:rPr>
                <w:rFonts w:eastAsia="Times New Roman" w:cstheme="minorHAnsi"/>
                <w:b/>
                <w:bCs/>
                <w:sz w:val="20"/>
                <w:szCs w:val="20"/>
              </w:rPr>
              <w:t>Very Large</w:t>
            </w:r>
          </w:p>
        </w:tc>
        <w:tc>
          <w:tcPr>
            <w:tcW w:w="1800" w:type="dxa"/>
            <w:tcBorders>
              <w:top w:val="nil"/>
              <w:left w:val="nil"/>
              <w:bottom w:val="single" w:sz="4" w:space="0" w:color="auto"/>
              <w:right w:val="single" w:sz="4" w:space="0" w:color="auto"/>
            </w:tcBorders>
            <w:shd w:val="clear" w:color="auto" w:fill="auto"/>
            <w:noWrap/>
            <w:vAlign w:val="center"/>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 xml:space="preserve"> &gt; 1,000,000</w:t>
            </w:r>
          </w:p>
        </w:tc>
        <w:tc>
          <w:tcPr>
            <w:tcW w:w="1020" w:type="dxa"/>
            <w:tcBorders>
              <w:top w:val="nil"/>
              <w:left w:val="nil"/>
              <w:bottom w:val="single" w:sz="4" w:space="0" w:color="auto"/>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r w:rsidRPr="000F331E">
              <w:rPr>
                <w:rFonts w:eastAsia="Times New Roman" w:cstheme="minorHAnsi"/>
                <w:color w:val="000000"/>
                <w:sz w:val="20"/>
                <w:szCs w:val="20"/>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&gt;1,000,000</w:t>
            </w:r>
          </w:p>
        </w:tc>
        <w:tc>
          <w:tcPr>
            <w:tcW w:w="940" w:type="dxa"/>
            <w:tcBorders>
              <w:top w:val="nil"/>
              <w:left w:val="nil"/>
              <w:bottom w:val="single" w:sz="4" w:space="0" w:color="auto"/>
              <w:right w:val="single" w:sz="4" w:space="0" w:color="auto"/>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r w:rsidRPr="000F331E">
              <w:rPr>
                <w:rFonts w:eastAsia="Times New Roman" w:cstheme="minorHAnsi"/>
                <w:color w:val="000000"/>
                <w:sz w:val="20"/>
                <w:szCs w:val="20"/>
              </w:rPr>
              <w:t>4</w:t>
            </w:r>
          </w:p>
        </w:tc>
      </w:tr>
      <w:tr w:rsidR="005C012F" w:rsidRPr="000F331E" w:rsidTr="00CB1B33">
        <w:trPr>
          <w:trHeight w:val="320"/>
        </w:trPr>
        <w:tc>
          <w:tcPr>
            <w:tcW w:w="150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sz w:val="20"/>
                <w:szCs w:val="20"/>
              </w:rPr>
            </w:pPr>
          </w:p>
        </w:tc>
        <w:tc>
          <w:tcPr>
            <w:tcW w:w="180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sz w:val="20"/>
                <w:szCs w:val="20"/>
              </w:rPr>
            </w:pPr>
          </w:p>
        </w:tc>
        <w:tc>
          <w:tcPr>
            <w:tcW w:w="102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sz w:val="20"/>
                <w:szCs w:val="20"/>
              </w:rPr>
            </w:pPr>
          </w:p>
        </w:tc>
        <w:tc>
          <w:tcPr>
            <w:tcW w:w="166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sz w:val="20"/>
                <w:szCs w:val="20"/>
              </w:rPr>
            </w:pPr>
          </w:p>
        </w:tc>
        <w:tc>
          <w:tcPr>
            <w:tcW w:w="94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sz w:val="20"/>
                <w:szCs w:val="20"/>
              </w:rPr>
            </w:pPr>
          </w:p>
        </w:tc>
      </w:tr>
      <w:tr w:rsidR="005C012F" w:rsidRPr="000F331E" w:rsidTr="00CB1B33">
        <w:trPr>
          <w:trHeight w:val="320"/>
        </w:trPr>
        <w:tc>
          <w:tcPr>
            <w:tcW w:w="150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sz w:val="20"/>
                <w:szCs w:val="20"/>
              </w:rPr>
            </w:pPr>
          </w:p>
        </w:tc>
        <w:tc>
          <w:tcPr>
            <w:tcW w:w="180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b/>
                <w:bCs/>
                <w:color w:val="000000"/>
                <w:sz w:val="20"/>
                <w:szCs w:val="20"/>
              </w:rPr>
            </w:pPr>
            <w:r w:rsidRPr="000F331E">
              <w:rPr>
                <w:rFonts w:eastAsia="Times New Roman" w:cstheme="minorHAnsi"/>
                <w:b/>
                <w:bCs/>
                <w:color w:val="000000"/>
                <w:sz w:val="20"/>
                <w:szCs w:val="20"/>
              </w:rPr>
              <w:t>Cost</w:t>
            </w:r>
          </w:p>
        </w:tc>
        <w:tc>
          <w:tcPr>
            <w:tcW w:w="102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b/>
                <w:bCs/>
                <w:color w:val="000000"/>
                <w:sz w:val="20"/>
                <w:szCs w:val="20"/>
              </w:rPr>
            </w:pPr>
            <w:r w:rsidRPr="000F331E">
              <w:rPr>
                <w:rFonts w:eastAsia="Times New Roman" w:cstheme="minorHAnsi"/>
                <w:b/>
                <w:bCs/>
                <w:color w:val="000000"/>
                <w:sz w:val="20"/>
                <w:szCs w:val="20"/>
              </w:rPr>
              <w:t>Systems</w:t>
            </w:r>
          </w:p>
        </w:tc>
        <w:tc>
          <w:tcPr>
            <w:tcW w:w="166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b/>
                <w:bCs/>
                <w:color w:val="000000"/>
              </w:rPr>
            </w:pPr>
            <w:r w:rsidRPr="000F331E">
              <w:rPr>
                <w:rFonts w:eastAsia="Times New Roman" w:cstheme="minorHAnsi"/>
                <w:b/>
                <w:bCs/>
                <w:color w:val="000000"/>
              </w:rPr>
              <w:t>Revenue Hours</w:t>
            </w:r>
          </w:p>
        </w:tc>
        <w:tc>
          <w:tcPr>
            <w:tcW w:w="94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b/>
                <w:bCs/>
                <w:color w:val="000000"/>
                <w:sz w:val="20"/>
                <w:szCs w:val="20"/>
              </w:rPr>
            </w:pPr>
            <w:r w:rsidRPr="000F331E">
              <w:rPr>
                <w:rFonts w:eastAsia="Times New Roman" w:cstheme="minorHAnsi"/>
                <w:b/>
                <w:bCs/>
                <w:color w:val="000000"/>
                <w:sz w:val="20"/>
                <w:szCs w:val="20"/>
              </w:rPr>
              <w:t>Systems</w:t>
            </w:r>
          </w:p>
        </w:tc>
      </w:tr>
      <w:tr w:rsidR="005C012F" w:rsidRPr="000F331E" w:rsidTr="00CB1B33">
        <w:trPr>
          <w:trHeight w:val="320"/>
        </w:trPr>
        <w:tc>
          <w:tcPr>
            <w:tcW w:w="1500" w:type="dxa"/>
            <w:tcBorders>
              <w:top w:val="single" w:sz="4" w:space="0" w:color="auto"/>
              <w:left w:val="single" w:sz="4" w:space="0" w:color="auto"/>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b/>
                <w:bCs/>
                <w:color w:val="000000"/>
                <w:sz w:val="20"/>
                <w:szCs w:val="20"/>
              </w:rPr>
            </w:pPr>
            <w:r w:rsidRPr="000F331E">
              <w:rPr>
                <w:rFonts w:eastAsia="Times New Roman" w:cstheme="minorHAnsi"/>
                <w:b/>
                <w:bCs/>
                <w:color w:val="000000"/>
                <w:sz w:val="20"/>
                <w:szCs w:val="20"/>
              </w:rPr>
              <w:t>Small</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&lt; 500,000</w:t>
            </w:r>
          </w:p>
        </w:tc>
        <w:tc>
          <w:tcPr>
            <w:tcW w:w="1020" w:type="dxa"/>
            <w:tcBorders>
              <w:top w:val="single" w:sz="4" w:space="0" w:color="auto"/>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rPr>
            </w:pPr>
            <w:r w:rsidRPr="000F331E">
              <w:rPr>
                <w:rFonts w:eastAsia="Times New Roman" w:cstheme="minorHAnsi"/>
                <w:color w:val="000000"/>
              </w:rPr>
              <w:t>14</w:t>
            </w:r>
          </w:p>
        </w:tc>
        <w:tc>
          <w:tcPr>
            <w:tcW w:w="1660" w:type="dxa"/>
            <w:tcBorders>
              <w:top w:val="single" w:sz="4" w:space="0" w:color="auto"/>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rPr>
            </w:pPr>
            <w:r w:rsidRPr="000F331E">
              <w:rPr>
                <w:rFonts w:eastAsia="Times New Roman" w:cstheme="minorHAnsi"/>
                <w:color w:val="000000"/>
              </w:rPr>
              <w:t>&lt; 7,500</w:t>
            </w:r>
          </w:p>
        </w:tc>
        <w:tc>
          <w:tcPr>
            <w:tcW w:w="940" w:type="dxa"/>
            <w:tcBorders>
              <w:top w:val="single" w:sz="4" w:space="0" w:color="auto"/>
              <w:left w:val="nil"/>
              <w:bottom w:val="nil"/>
              <w:right w:val="single" w:sz="4" w:space="0" w:color="auto"/>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rPr>
            </w:pPr>
            <w:r w:rsidRPr="000F331E">
              <w:rPr>
                <w:rFonts w:eastAsia="Times New Roman" w:cstheme="minorHAnsi"/>
                <w:color w:val="000000"/>
              </w:rPr>
              <w:t>13</w:t>
            </w:r>
          </w:p>
        </w:tc>
      </w:tr>
      <w:tr w:rsidR="005C012F" w:rsidRPr="000F331E" w:rsidTr="00CB1B33">
        <w:trPr>
          <w:trHeight w:val="320"/>
        </w:trPr>
        <w:tc>
          <w:tcPr>
            <w:tcW w:w="1500" w:type="dxa"/>
            <w:tcBorders>
              <w:top w:val="nil"/>
              <w:left w:val="single" w:sz="4" w:space="0" w:color="auto"/>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b/>
                <w:bCs/>
                <w:color w:val="000000"/>
                <w:sz w:val="20"/>
                <w:szCs w:val="20"/>
              </w:rPr>
            </w:pPr>
            <w:r w:rsidRPr="000F331E">
              <w:rPr>
                <w:rFonts w:eastAsia="Times New Roman" w:cstheme="minorHAnsi"/>
                <w:b/>
                <w:bCs/>
                <w:color w:val="000000"/>
                <w:sz w:val="20"/>
                <w:szCs w:val="20"/>
              </w:rPr>
              <w:t>Medium</w:t>
            </w:r>
          </w:p>
        </w:tc>
        <w:tc>
          <w:tcPr>
            <w:tcW w:w="1800" w:type="dxa"/>
            <w:tcBorders>
              <w:top w:val="nil"/>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500,000 - 1,500,000</w:t>
            </w:r>
          </w:p>
        </w:tc>
        <w:tc>
          <w:tcPr>
            <w:tcW w:w="102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rPr>
            </w:pPr>
            <w:r w:rsidRPr="000F331E">
              <w:rPr>
                <w:rFonts w:eastAsia="Times New Roman" w:cstheme="minorHAnsi"/>
                <w:color w:val="000000"/>
              </w:rPr>
              <w:t>10</w:t>
            </w:r>
          </w:p>
        </w:tc>
        <w:tc>
          <w:tcPr>
            <w:tcW w:w="1660" w:type="dxa"/>
            <w:tcBorders>
              <w:top w:val="nil"/>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rPr>
            </w:pPr>
            <w:r w:rsidRPr="000F331E">
              <w:rPr>
                <w:rFonts w:eastAsia="Times New Roman" w:cstheme="minorHAnsi"/>
                <w:color w:val="000000"/>
              </w:rPr>
              <w:t>7,501 - 25,000</w:t>
            </w:r>
          </w:p>
        </w:tc>
        <w:tc>
          <w:tcPr>
            <w:tcW w:w="940" w:type="dxa"/>
            <w:tcBorders>
              <w:top w:val="nil"/>
              <w:left w:val="nil"/>
              <w:bottom w:val="nil"/>
              <w:right w:val="single" w:sz="4" w:space="0" w:color="auto"/>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rPr>
            </w:pPr>
            <w:r w:rsidRPr="000F331E">
              <w:rPr>
                <w:rFonts w:eastAsia="Times New Roman" w:cstheme="minorHAnsi"/>
                <w:color w:val="000000"/>
              </w:rPr>
              <w:t>8</w:t>
            </w:r>
          </w:p>
        </w:tc>
      </w:tr>
      <w:tr w:rsidR="005C012F" w:rsidRPr="000F331E" w:rsidTr="00CB1B33">
        <w:trPr>
          <w:trHeight w:val="320"/>
        </w:trPr>
        <w:tc>
          <w:tcPr>
            <w:tcW w:w="1500" w:type="dxa"/>
            <w:tcBorders>
              <w:top w:val="nil"/>
              <w:left w:val="single" w:sz="4" w:space="0" w:color="auto"/>
              <w:bottom w:val="nil"/>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b/>
                <w:bCs/>
                <w:color w:val="000000"/>
                <w:sz w:val="20"/>
                <w:szCs w:val="20"/>
              </w:rPr>
            </w:pPr>
            <w:r w:rsidRPr="000F331E">
              <w:rPr>
                <w:rFonts w:eastAsia="Times New Roman" w:cstheme="minorHAnsi"/>
                <w:b/>
                <w:bCs/>
                <w:color w:val="000000"/>
                <w:sz w:val="20"/>
                <w:szCs w:val="20"/>
              </w:rPr>
              <w:t>Large</w:t>
            </w:r>
          </w:p>
        </w:tc>
        <w:tc>
          <w:tcPr>
            <w:tcW w:w="1800" w:type="dxa"/>
            <w:tcBorders>
              <w:top w:val="nil"/>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1,500,000 - 5,000,000</w:t>
            </w:r>
          </w:p>
        </w:tc>
        <w:tc>
          <w:tcPr>
            <w:tcW w:w="1020" w:type="dxa"/>
            <w:tcBorders>
              <w:top w:val="nil"/>
              <w:left w:val="nil"/>
              <w:bottom w:val="nil"/>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rPr>
            </w:pPr>
            <w:r w:rsidRPr="000F331E">
              <w:rPr>
                <w:rFonts w:eastAsia="Times New Roman" w:cstheme="minorHAnsi"/>
                <w:color w:val="000000"/>
              </w:rPr>
              <w:t>7</w:t>
            </w:r>
          </w:p>
        </w:tc>
        <w:tc>
          <w:tcPr>
            <w:tcW w:w="1660" w:type="dxa"/>
            <w:tcBorders>
              <w:top w:val="nil"/>
              <w:left w:val="single" w:sz="4" w:space="0" w:color="auto"/>
              <w:bottom w:val="nil"/>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rPr>
            </w:pPr>
            <w:r w:rsidRPr="000F331E">
              <w:rPr>
                <w:rFonts w:eastAsia="Times New Roman" w:cstheme="minorHAnsi"/>
                <w:color w:val="000000"/>
              </w:rPr>
              <w:t>25,001 - 50,000</w:t>
            </w:r>
          </w:p>
        </w:tc>
        <w:tc>
          <w:tcPr>
            <w:tcW w:w="940" w:type="dxa"/>
            <w:tcBorders>
              <w:top w:val="nil"/>
              <w:left w:val="nil"/>
              <w:bottom w:val="nil"/>
              <w:right w:val="single" w:sz="4" w:space="0" w:color="auto"/>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rPr>
            </w:pPr>
            <w:r w:rsidRPr="000F331E">
              <w:rPr>
                <w:rFonts w:eastAsia="Times New Roman" w:cstheme="minorHAnsi"/>
                <w:color w:val="000000"/>
              </w:rPr>
              <w:t>9</w:t>
            </w:r>
          </w:p>
        </w:tc>
      </w:tr>
      <w:tr w:rsidR="005C012F" w:rsidRPr="000F331E" w:rsidTr="00CB1B33">
        <w:trPr>
          <w:trHeight w:val="320"/>
        </w:trPr>
        <w:tc>
          <w:tcPr>
            <w:tcW w:w="1500" w:type="dxa"/>
            <w:tcBorders>
              <w:top w:val="nil"/>
              <w:left w:val="single" w:sz="4" w:space="0" w:color="auto"/>
              <w:bottom w:val="single" w:sz="4" w:space="0" w:color="auto"/>
              <w:right w:val="nil"/>
            </w:tcBorders>
            <w:shd w:val="clear" w:color="auto" w:fill="auto"/>
            <w:noWrap/>
            <w:vAlign w:val="bottom"/>
            <w:hideMark/>
          </w:tcPr>
          <w:p w:rsidR="005C012F" w:rsidRPr="000F331E" w:rsidRDefault="005C012F" w:rsidP="005C012F">
            <w:pPr>
              <w:spacing w:after="0" w:line="240" w:lineRule="auto"/>
              <w:rPr>
                <w:rFonts w:eastAsia="Times New Roman" w:cstheme="minorHAnsi"/>
                <w:b/>
                <w:bCs/>
                <w:color w:val="000000"/>
                <w:sz w:val="20"/>
                <w:szCs w:val="20"/>
              </w:rPr>
            </w:pPr>
            <w:r w:rsidRPr="000F331E">
              <w:rPr>
                <w:rFonts w:eastAsia="Times New Roman" w:cstheme="minorHAnsi"/>
                <w:b/>
                <w:bCs/>
                <w:color w:val="000000"/>
                <w:sz w:val="20"/>
                <w:szCs w:val="20"/>
              </w:rPr>
              <w:t>Very Large</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sz w:val="20"/>
                <w:szCs w:val="20"/>
              </w:rPr>
            </w:pPr>
            <w:r w:rsidRPr="000F331E">
              <w:rPr>
                <w:rFonts w:eastAsia="Times New Roman" w:cstheme="minorHAnsi"/>
                <w:color w:val="000000"/>
                <w:sz w:val="20"/>
                <w:szCs w:val="20"/>
              </w:rPr>
              <w:t>&gt; 5,000,000</w:t>
            </w:r>
          </w:p>
        </w:tc>
        <w:tc>
          <w:tcPr>
            <w:tcW w:w="1020" w:type="dxa"/>
            <w:tcBorders>
              <w:top w:val="nil"/>
              <w:left w:val="nil"/>
              <w:bottom w:val="single" w:sz="4" w:space="0" w:color="auto"/>
              <w:right w:val="nil"/>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rPr>
            </w:pPr>
            <w:r w:rsidRPr="000F331E">
              <w:rPr>
                <w:rFonts w:eastAsia="Times New Roman" w:cstheme="minorHAnsi"/>
                <w:color w:val="000000"/>
              </w:rPr>
              <w:t>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C012F" w:rsidRPr="000F331E" w:rsidRDefault="005C012F" w:rsidP="005C012F">
            <w:pPr>
              <w:spacing w:after="0" w:line="240" w:lineRule="auto"/>
              <w:rPr>
                <w:rFonts w:eastAsia="Times New Roman" w:cstheme="minorHAnsi"/>
                <w:color w:val="000000"/>
              </w:rPr>
            </w:pPr>
            <w:r w:rsidRPr="000F331E">
              <w:rPr>
                <w:rFonts w:eastAsia="Times New Roman" w:cstheme="minorHAnsi"/>
                <w:color w:val="000000"/>
              </w:rPr>
              <w:t>&gt; 50,000</w:t>
            </w:r>
          </w:p>
        </w:tc>
        <w:tc>
          <w:tcPr>
            <w:tcW w:w="940" w:type="dxa"/>
            <w:tcBorders>
              <w:top w:val="nil"/>
              <w:left w:val="nil"/>
              <w:bottom w:val="single" w:sz="4" w:space="0" w:color="auto"/>
              <w:right w:val="single" w:sz="4" w:space="0" w:color="auto"/>
            </w:tcBorders>
            <w:shd w:val="clear" w:color="auto" w:fill="auto"/>
            <w:noWrap/>
            <w:vAlign w:val="bottom"/>
            <w:hideMark/>
          </w:tcPr>
          <w:p w:rsidR="005C012F" w:rsidRPr="000F331E" w:rsidRDefault="005C012F" w:rsidP="005C012F">
            <w:pPr>
              <w:spacing w:after="0" w:line="240" w:lineRule="auto"/>
              <w:jc w:val="center"/>
              <w:rPr>
                <w:rFonts w:eastAsia="Times New Roman" w:cstheme="minorHAnsi"/>
                <w:color w:val="000000"/>
              </w:rPr>
            </w:pPr>
            <w:r w:rsidRPr="000F331E">
              <w:rPr>
                <w:rFonts w:eastAsia="Times New Roman" w:cstheme="minorHAnsi"/>
                <w:color w:val="000000"/>
              </w:rPr>
              <w:t>4</w:t>
            </w:r>
          </w:p>
        </w:tc>
      </w:tr>
    </w:tbl>
    <w:p w:rsidR="00CB1B33" w:rsidRPr="000F331E" w:rsidRDefault="00CB1B33">
      <w:pPr>
        <w:rPr>
          <w:color w:val="FF0000"/>
        </w:rPr>
      </w:pPr>
    </w:p>
    <w:tbl>
      <w:tblPr>
        <w:tblW w:w="9535" w:type="dxa"/>
        <w:tblCellMar>
          <w:left w:w="0" w:type="dxa"/>
          <w:right w:w="0" w:type="dxa"/>
        </w:tblCellMar>
        <w:tblLook w:val="0600" w:firstRow="0" w:lastRow="0" w:firstColumn="0" w:lastColumn="0" w:noHBand="1" w:noVBand="1"/>
      </w:tblPr>
      <w:tblGrid>
        <w:gridCol w:w="2155"/>
        <w:gridCol w:w="2340"/>
        <w:gridCol w:w="2520"/>
        <w:gridCol w:w="2520"/>
      </w:tblGrid>
      <w:tr w:rsidR="00CB1B33" w:rsidRPr="000F331E" w:rsidTr="00CB1B33">
        <w:trPr>
          <w:trHeight w:val="195"/>
        </w:trPr>
        <w:tc>
          <w:tcPr>
            <w:tcW w:w="2155" w:type="dxa"/>
            <w:tcBorders>
              <w:top w:val="single" w:sz="4" w:space="0" w:color="000000"/>
              <w:left w:val="single" w:sz="4" w:space="0" w:color="000000"/>
              <w:bottom w:val="single" w:sz="4" w:space="0" w:color="000000"/>
              <w:right w:val="single" w:sz="4" w:space="0" w:color="000000"/>
            </w:tcBorders>
            <w:shd w:val="clear" w:color="auto" w:fill="F5C201"/>
            <w:tcMar>
              <w:top w:w="20" w:type="dxa"/>
              <w:left w:w="20" w:type="dxa"/>
              <w:bottom w:w="0" w:type="dxa"/>
              <w:right w:w="20" w:type="dxa"/>
            </w:tcMar>
            <w:vAlign w:val="center"/>
            <w:hideMark/>
          </w:tcPr>
          <w:p w:rsidR="00CB1B33" w:rsidRPr="000F331E" w:rsidRDefault="00CB1B33" w:rsidP="00CB1B33">
            <w:pPr>
              <w:spacing w:after="0" w:line="240" w:lineRule="auto"/>
              <w:jc w:val="center"/>
            </w:pPr>
            <w:r w:rsidRPr="000F331E">
              <w:rPr>
                <w:b/>
                <w:bCs/>
              </w:rPr>
              <w:t>SMALL</w:t>
            </w:r>
          </w:p>
        </w:tc>
        <w:tc>
          <w:tcPr>
            <w:tcW w:w="2340" w:type="dxa"/>
            <w:tcBorders>
              <w:top w:val="single" w:sz="4" w:space="0" w:color="000000"/>
              <w:left w:val="single" w:sz="4" w:space="0" w:color="000000"/>
              <w:bottom w:val="single" w:sz="4" w:space="0" w:color="000000"/>
              <w:right w:val="single" w:sz="4" w:space="0" w:color="000000"/>
            </w:tcBorders>
            <w:shd w:val="clear" w:color="auto" w:fill="526DB0"/>
            <w:tcMar>
              <w:top w:w="20" w:type="dxa"/>
              <w:left w:w="20" w:type="dxa"/>
              <w:bottom w:w="0" w:type="dxa"/>
              <w:right w:w="20" w:type="dxa"/>
            </w:tcMar>
            <w:vAlign w:val="center"/>
            <w:hideMark/>
          </w:tcPr>
          <w:p w:rsidR="00CB1B33" w:rsidRPr="000F331E" w:rsidRDefault="00CB1B33" w:rsidP="00CB1B33">
            <w:pPr>
              <w:spacing w:after="0" w:line="240" w:lineRule="auto"/>
              <w:jc w:val="center"/>
            </w:pPr>
            <w:r w:rsidRPr="000F331E">
              <w:rPr>
                <w:b/>
                <w:bCs/>
              </w:rPr>
              <w:t>MEDIUM</w:t>
            </w:r>
          </w:p>
        </w:tc>
        <w:tc>
          <w:tcPr>
            <w:tcW w:w="2520" w:type="dxa"/>
            <w:tcBorders>
              <w:top w:val="single" w:sz="4" w:space="0" w:color="000000"/>
              <w:left w:val="single" w:sz="4" w:space="0" w:color="000000"/>
              <w:bottom w:val="single" w:sz="4" w:space="0" w:color="000000"/>
              <w:right w:val="single" w:sz="4" w:space="0" w:color="000000"/>
            </w:tcBorders>
            <w:shd w:val="clear" w:color="auto" w:fill="989AAC"/>
            <w:tcMar>
              <w:top w:w="20" w:type="dxa"/>
              <w:left w:w="20" w:type="dxa"/>
              <w:bottom w:w="0" w:type="dxa"/>
              <w:right w:w="20" w:type="dxa"/>
            </w:tcMar>
            <w:vAlign w:val="center"/>
            <w:hideMark/>
          </w:tcPr>
          <w:p w:rsidR="00CB1B33" w:rsidRPr="000F331E" w:rsidRDefault="00CB1B33" w:rsidP="00CB1B33">
            <w:pPr>
              <w:spacing w:after="0" w:line="240" w:lineRule="auto"/>
              <w:jc w:val="center"/>
            </w:pPr>
            <w:r w:rsidRPr="000F331E">
              <w:rPr>
                <w:b/>
                <w:bCs/>
              </w:rPr>
              <w:t>LARGE</w:t>
            </w:r>
          </w:p>
        </w:tc>
        <w:tc>
          <w:tcPr>
            <w:tcW w:w="2520" w:type="dxa"/>
            <w:tcBorders>
              <w:top w:val="single" w:sz="4" w:space="0" w:color="000000"/>
              <w:left w:val="single" w:sz="4" w:space="0" w:color="000000"/>
              <w:bottom w:val="single" w:sz="4" w:space="0" w:color="000000"/>
              <w:right w:val="single" w:sz="4" w:space="0" w:color="000000"/>
            </w:tcBorders>
            <w:shd w:val="clear" w:color="auto" w:fill="DC5924"/>
            <w:tcMar>
              <w:top w:w="20" w:type="dxa"/>
              <w:left w:w="20" w:type="dxa"/>
              <w:bottom w:w="0" w:type="dxa"/>
              <w:right w:w="20" w:type="dxa"/>
            </w:tcMar>
            <w:vAlign w:val="center"/>
            <w:hideMark/>
          </w:tcPr>
          <w:p w:rsidR="00CB1B33" w:rsidRPr="000F331E" w:rsidRDefault="00CB1B33" w:rsidP="00CB1B33">
            <w:pPr>
              <w:spacing w:after="0" w:line="240" w:lineRule="auto"/>
              <w:jc w:val="center"/>
            </w:pPr>
            <w:r w:rsidRPr="000F331E">
              <w:rPr>
                <w:b/>
                <w:bCs/>
              </w:rPr>
              <w:t>VERY LARGE</w:t>
            </w:r>
          </w:p>
        </w:tc>
      </w:tr>
      <w:tr w:rsidR="00CB1B33" w:rsidRPr="000F331E" w:rsidTr="00CB1B33">
        <w:trPr>
          <w:trHeight w:val="168"/>
        </w:trPr>
        <w:tc>
          <w:tcPr>
            <w:tcW w:w="2155" w:type="dxa"/>
            <w:tcBorders>
              <w:top w:val="single"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Wet Mountain</w:t>
            </w:r>
          </w:p>
        </w:tc>
        <w:tc>
          <w:tcPr>
            <w:tcW w:w="2340" w:type="dxa"/>
            <w:tcBorders>
              <w:top w:val="single"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t>SRDA</w:t>
            </w:r>
          </w:p>
        </w:tc>
        <w:tc>
          <w:tcPr>
            <w:tcW w:w="2520" w:type="dxa"/>
            <w:tcBorders>
              <w:top w:val="single" w:sz="4" w:space="0" w:color="000000"/>
              <w:left w:val="single" w:sz="4" w:space="0" w:color="000000"/>
              <w:bottom w:val="dotted" w:sz="4" w:space="0" w:color="000000"/>
              <w:right w:val="single" w:sz="4" w:space="0" w:color="000000"/>
            </w:tcBorders>
            <w:shd w:val="clear" w:color="auto" w:fill="D5D6DD"/>
            <w:tcMar>
              <w:top w:w="20" w:type="dxa"/>
              <w:left w:w="20" w:type="dxa"/>
              <w:bottom w:w="0" w:type="dxa"/>
              <w:right w:w="20" w:type="dxa"/>
            </w:tcMar>
            <w:vAlign w:val="center"/>
            <w:hideMark/>
          </w:tcPr>
          <w:p w:rsidR="00CB1B33" w:rsidRPr="000F331E" w:rsidRDefault="00CB1B33" w:rsidP="00CB1B33">
            <w:pPr>
              <w:spacing w:after="0" w:line="240" w:lineRule="auto"/>
            </w:pPr>
            <w:r w:rsidRPr="000F331E">
              <w:t xml:space="preserve">San Miguel Co.  RTA </w:t>
            </w:r>
            <w:r w:rsidRPr="000F331E">
              <w:rPr>
                <w:rFonts w:cstheme="minorHAnsi"/>
              </w:rPr>
              <w:t>«</w:t>
            </w:r>
          </w:p>
        </w:tc>
        <w:tc>
          <w:tcPr>
            <w:tcW w:w="2520" w:type="dxa"/>
            <w:tcBorders>
              <w:top w:val="single" w:sz="4" w:space="0" w:color="000000"/>
              <w:left w:val="single" w:sz="4" w:space="0" w:color="000000"/>
              <w:bottom w:val="dotted" w:sz="4" w:space="0" w:color="000000"/>
              <w:right w:val="single" w:sz="4" w:space="0" w:color="000000"/>
            </w:tcBorders>
            <w:shd w:val="clear" w:color="auto" w:fill="F1BDA7"/>
            <w:tcMar>
              <w:top w:w="20" w:type="dxa"/>
              <w:left w:w="20" w:type="dxa"/>
              <w:bottom w:w="0" w:type="dxa"/>
              <w:right w:w="20" w:type="dxa"/>
            </w:tcMar>
            <w:vAlign w:val="center"/>
            <w:hideMark/>
          </w:tcPr>
          <w:p w:rsidR="00CB1B33" w:rsidRPr="000F331E" w:rsidRDefault="00CB1B33" w:rsidP="00CB1B33">
            <w:pPr>
              <w:spacing w:after="0" w:line="240" w:lineRule="auto"/>
            </w:pPr>
            <w:r w:rsidRPr="000F331E">
              <w:rPr>
                <w:lang w:val="pt-BR"/>
              </w:rPr>
              <w:t xml:space="preserve">Vail </w:t>
            </w:r>
            <w:r w:rsidRPr="000F331E">
              <w:rPr>
                <w:rFonts w:cstheme="minorHAnsi"/>
                <w:lang w:val="pt-BR"/>
              </w:rPr>
              <w:t>«</w:t>
            </w:r>
          </w:p>
        </w:tc>
      </w:tr>
      <w:tr w:rsidR="00CB1B33" w:rsidRPr="000F331E" w:rsidTr="00CB1B33">
        <w:trPr>
          <w:trHeight w:val="222"/>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Dolores Co. Seniors</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t>City of Cripple Creek</w:t>
            </w:r>
          </w:p>
        </w:tc>
        <w:tc>
          <w:tcPr>
            <w:tcW w:w="2520" w:type="dxa"/>
            <w:tcBorders>
              <w:top w:val="dotted" w:sz="4" w:space="0" w:color="000000"/>
              <w:left w:val="single" w:sz="4" w:space="0" w:color="000000"/>
              <w:bottom w:val="dotted" w:sz="4" w:space="0" w:color="000000"/>
              <w:right w:val="single" w:sz="4" w:space="0" w:color="000000"/>
            </w:tcBorders>
            <w:shd w:val="clear" w:color="auto" w:fill="D5D6DD"/>
            <w:tcMar>
              <w:top w:w="20" w:type="dxa"/>
              <w:left w:w="20" w:type="dxa"/>
              <w:bottom w:w="0" w:type="dxa"/>
              <w:right w:w="20" w:type="dxa"/>
            </w:tcMar>
            <w:vAlign w:val="center"/>
            <w:hideMark/>
          </w:tcPr>
          <w:p w:rsidR="00CB1B33" w:rsidRPr="000F331E" w:rsidRDefault="00CB1B33" w:rsidP="00CB1B33">
            <w:pPr>
              <w:spacing w:after="0" w:line="240" w:lineRule="auto"/>
            </w:pPr>
            <w:r w:rsidRPr="000F331E">
              <w:t>Town of Breckenridge</w:t>
            </w:r>
          </w:p>
        </w:tc>
        <w:tc>
          <w:tcPr>
            <w:tcW w:w="2520" w:type="dxa"/>
            <w:tcBorders>
              <w:top w:val="dotted" w:sz="4" w:space="0" w:color="000000"/>
              <w:left w:val="single" w:sz="4" w:space="0" w:color="000000"/>
              <w:bottom w:val="dotted" w:sz="4" w:space="0" w:color="000000"/>
              <w:right w:val="single" w:sz="4" w:space="0" w:color="000000"/>
            </w:tcBorders>
            <w:shd w:val="clear" w:color="auto" w:fill="F1BDA7"/>
            <w:tcMar>
              <w:top w:w="20" w:type="dxa"/>
              <w:left w:w="20" w:type="dxa"/>
              <w:bottom w:w="0" w:type="dxa"/>
              <w:right w:w="20" w:type="dxa"/>
            </w:tcMar>
            <w:vAlign w:val="center"/>
            <w:hideMark/>
          </w:tcPr>
          <w:p w:rsidR="00CB1B33" w:rsidRPr="000F331E" w:rsidRDefault="00CB1B33" w:rsidP="00CB1B33">
            <w:pPr>
              <w:spacing w:after="0" w:line="240" w:lineRule="auto"/>
            </w:pPr>
            <w:r w:rsidRPr="000F331E">
              <w:t>ECO</w:t>
            </w:r>
          </w:p>
        </w:tc>
      </w:tr>
      <w:tr w:rsidR="00CB1B33" w:rsidRPr="000F331E" w:rsidTr="00CB1B33">
        <w:trPr>
          <w:trHeight w:val="50"/>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Canyon City GAC</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t>SCCOG</w:t>
            </w:r>
          </w:p>
        </w:tc>
        <w:tc>
          <w:tcPr>
            <w:tcW w:w="2520" w:type="dxa"/>
            <w:tcBorders>
              <w:top w:val="dotted" w:sz="4" w:space="0" w:color="000000"/>
              <w:left w:val="single" w:sz="4" w:space="0" w:color="000000"/>
              <w:bottom w:val="dotted" w:sz="4" w:space="0" w:color="000000"/>
              <w:right w:val="single" w:sz="4" w:space="0" w:color="000000"/>
            </w:tcBorders>
            <w:shd w:val="clear" w:color="auto" w:fill="D5D6DD"/>
            <w:tcMar>
              <w:top w:w="20" w:type="dxa"/>
              <w:left w:w="20" w:type="dxa"/>
              <w:bottom w:w="0" w:type="dxa"/>
              <w:right w:w="20" w:type="dxa"/>
            </w:tcMar>
            <w:vAlign w:val="center"/>
            <w:hideMark/>
          </w:tcPr>
          <w:p w:rsidR="00CB1B33" w:rsidRPr="000F331E" w:rsidRDefault="00CB1B33" w:rsidP="00CB1B33">
            <w:pPr>
              <w:spacing w:after="0" w:line="240" w:lineRule="auto"/>
            </w:pPr>
            <w:r w:rsidRPr="000F331E">
              <w:rPr>
                <w:i/>
                <w:iCs/>
              </w:rPr>
              <w:t>Black Hawk/Central City</w:t>
            </w:r>
          </w:p>
        </w:tc>
        <w:tc>
          <w:tcPr>
            <w:tcW w:w="2520" w:type="dxa"/>
            <w:tcBorders>
              <w:top w:val="dotted" w:sz="4" w:space="0" w:color="000000"/>
              <w:left w:val="single" w:sz="4" w:space="0" w:color="000000"/>
              <w:bottom w:val="dotted" w:sz="4" w:space="0" w:color="000000"/>
              <w:right w:val="single" w:sz="4" w:space="0" w:color="000000"/>
            </w:tcBorders>
            <w:shd w:val="clear" w:color="auto" w:fill="F1BDA7"/>
            <w:tcMar>
              <w:top w:w="20" w:type="dxa"/>
              <w:left w:w="20" w:type="dxa"/>
              <w:bottom w:w="0" w:type="dxa"/>
              <w:right w:w="20" w:type="dxa"/>
            </w:tcMar>
            <w:vAlign w:val="center"/>
            <w:hideMark/>
          </w:tcPr>
          <w:p w:rsidR="00CB1B33" w:rsidRPr="000F331E" w:rsidRDefault="00CB1B33" w:rsidP="00CB1B33">
            <w:pPr>
              <w:spacing w:after="0" w:line="240" w:lineRule="auto"/>
            </w:pPr>
            <w:r w:rsidRPr="000F331E">
              <w:t>Summit Stage</w:t>
            </w:r>
          </w:p>
        </w:tc>
      </w:tr>
      <w:tr w:rsidR="00CB1B33" w:rsidRPr="000F331E" w:rsidTr="00CB1B33">
        <w:trPr>
          <w:trHeight w:val="50"/>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rPr>
                <w:i/>
                <w:iCs/>
              </w:rPr>
              <w:t>Archuleta County</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rPr>
                <w:lang w:val="fr-FR"/>
              </w:rPr>
              <w:t>SUCAP (plus 5310)</w:t>
            </w:r>
          </w:p>
        </w:tc>
        <w:tc>
          <w:tcPr>
            <w:tcW w:w="2520" w:type="dxa"/>
            <w:tcBorders>
              <w:top w:val="dotted" w:sz="4" w:space="0" w:color="000000"/>
              <w:left w:val="single" w:sz="4" w:space="0" w:color="000000"/>
              <w:bottom w:val="dotted" w:sz="4" w:space="0" w:color="000000"/>
              <w:right w:val="single" w:sz="4" w:space="0" w:color="000000"/>
            </w:tcBorders>
            <w:shd w:val="clear" w:color="auto" w:fill="D5D6DD"/>
            <w:tcMar>
              <w:top w:w="20" w:type="dxa"/>
              <w:left w:w="20" w:type="dxa"/>
              <w:bottom w:w="0" w:type="dxa"/>
              <w:right w:w="20" w:type="dxa"/>
            </w:tcMar>
            <w:vAlign w:val="center"/>
            <w:hideMark/>
          </w:tcPr>
          <w:p w:rsidR="00CB1B33" w:rsidRPr="000F331E" w:rsidRDefault="00CB1B33" w:rsidP="00CB1B33">
            <w:pPr>
              <w:spacing w:after="0" w:line="240" w:lineRule="auto"/>
            </w:pPr>
            <w:r w:rsidRPr="000F331E">
              <w:t>Durango T</w:t>
            </w:r>
          </w:p>
        </w:tc>
        <w:tc>
          <w:tcPr>
            <w:tcW w:w="2520" w:type="dxa"/>
            <w:tcBorders>
              <w:top w:val="dotted" w:sz="4" w:space="0" w:color="000000"/>
              <w:left w:val="single" w:sz="4" w:space="0" w:color="000000"/>
              <w:bottom w:val="dotted" w:sz="4" w:space="0" w:color="000000"/>
              <w:right w:val="single" w:sz="4" w:space="0" w:color="000000"/>
            </w:tcBorders>
            <w:shd w:val="clear" w:color="auto" w:fill="F1BDA7"/>
            <w:tcMar>
              <w:top w:w="20" w:type="dxa"/>
              <w:left w:w="20" w:type="dxa"/>
              <w:bottom w:w="0" w:type="dxa"/>
              <w:right w:w="20" w:type="dxa"/>
            </w:tcMar>
            <w:vAlign w:val="center"/>
            <w:hideMark/>
          </w:tcPr>
          <w:p w:rsidR="00CB1B33" w:rsidRPr="000F331E" w:rsidRDefault="00CB1B33" w:rsidP="00CB1B33">
            <w:pPr>
              <w:spacing w:after="0" w:line="240" w:lineRule="auto"/>
            </w:pPr>
            <w:proofErr w:type="spellStart"/>
            <w:r w:rsidRPr="000F331E">
              <w:t>Mtn</w:t>
            </w:r>
            <w:proofErr w:type="spellEnd"/>
            <w:r w:rsidRPr="000F331E">
              <w:t xml:space="preserve"> Village Tram &amp; Bus**</w:t>
            </w:r>
          </w:p>
        </w:tc>
      </w:tr>
      <w:tr w:rsidR="00CB1B33" w:rsidRPr="000F331E" w:rsidTr="00CB1B33">
        <w:trPr>
          <w:trHeight w:val="222"/>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Montezuma Co. Seniors</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rPr>
                <w:i/>
                <w:iCs/>
              </w:rPr>
              <w:t>Rural Larimer-Weld service</w:t>
            </w:r>
          </w:p>
        </w:tc>
        <w:tc>
          <w:tcPr>
            <w:tcW w:w="2520" w:type="dxa"/>
            <w:tcBorders>
              <w:top w:val="dotted" w:sz="4" w:space="0" w:color="000000"/>
              <w:left w:val="single" w:sz="4" w:space="0" w:color="000000"/>
              <w:bottom w:val="dotted" w:sz="4" w:space="0" w:color="000000"/>
              <w:right w:val="single" w:sz="4" w:space="0" w:color="000000"/>
            </w:tcBorders>
            <w:shd w:val="clear" w:color="auto" w:fill="D5D6DD"/>
            <w:tcMar>
              <w:top w:w="20" w:type="dxa"/>
              <w:left w:w="20" w:type="dxa"/>
              <w:bottom w:w="0" w:type="dxa"/>
              <w:right w:w="20" w:type="dxa"/>
            </w:tcMar>
            <w:vAlign w:val="center"/>
            <w:hideMark/>
          </w:tcPr>
          <w:p w:rsidR="00CB1B33" w:rsidRPr="000F331E" w:rsidRDefault="00CB1B33" w:rsidP="00CB1B33">
            <w:pPr>
              <w:spacing w:after="0" w:line="240" w:lineRule="auto"/>
            </w:pPr>
            <w:r w:rsidRPr="000F331E">
              <w:t>Town of Winter Park</w:t>
            </w:r>
          </w:p>
        </w:tc>
        <w:tc>
          <w:tcPr>
            <w:tcW w:w="2520" w:type="dxa"/>
            <w:tcBorders>
              <w:top w:val="dotted" w:sz="4" w:space="0" w:color="000000"/>
              <w:left w:val="single" w:sz="4" w:space="0" w:color="000000"/>
              <w:bottom w:val="dotted" w:sz="4" w:space="0" w:color="000000"/>
              <w:right w:val="single" w:sz="4" w:space="0" w:color="000000"/>
            </w:tcBorders>
            <w:shd w:val="clear" w:color="auto" w:fill="F1BDA7"/>
            <w:tcMar>
              <w:top w:w="20" w:type="dxa"/>
              <w:left w:w="20" w:type="dxa"/>
              <w:bottom w:w="0" w:type="dxa"/>
              <w:right w:w="20" w:type="dxa"/>
            </w:tcMar>
            <w:vAlign w:val="center"/>
            <w:hideMark/>
          </w:tcPr>
          <w:p w:rsidR="00CB1B33" w:rsidRPr="000F331E" w:rsidRDefault="00CB1B33" w:rsidP="00CB1B33">
            <w:pPr>
              <w:spacing w:after="0" w:line="240" w:lineRule="auto"/>
            </w:pPr>
            <w:r w:rsidRPr="000F331E">
              <w:t>RFTA**</w:t>
            </w:r>
          </w:p>
        </w:tc>
      </w:tr>
      <w:tr w:rsidR="00CB1B33" w:rsidRPr="000F331E" w:rsidTr="00CB1B33">
        <w:trPr>
          <w:trHeight w:val="50"/>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City of La Junta</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rPr>
                <w:i/>
                <w:iCs/>
              </w:rPr>
              <w:t>Estes Park</w:t>
            </w:r>
          </w:p>
        </w:tc>
        <w:tc>
          <w:tcPr>
            <w:tcW w:w="2520" w:type="dxa"/>
            <w:tcBorders>
              <w:top w:val="dotted" w:sz="4" w:space="0" w:color="000000"/>
              <w:left w:val="single" w:sz="4" w:space="0" w:color="000000"/>
              <w:bottom w:val="dotted" w:sz="4" w:space="0" w:color="000000"/>
              <w:right w:val="single" w:sz="4" w:space="0" w:color="000000"/>
            </w:tcBorders>
            <w:shd w:val="clear" w:color="auto" w:fill="D5D6DD"/>
            <w:tcMar>
              <w:top w:w="20" w:type="dxa"/>
              <w:left w:w="20" w:type="dxa"/>
              <w:bottom w:w="0" w:type="dxa"/>
              <w:right w:w="20" w:type="dxa"/>
            </w:tcMar>
            <w:vAlign w:val="center"/>
            <w:hideMark/>
          </w:tcPr>
          <w:p w:rsidR="00CB1B33" w:rsidRPr="000F331E" w:rsidRDefault="00CB1B33" w:rsidP="00CB1B33">
            <w:pPr>
              <w:spacing w:after="0" w:line="240" w:lineRule="auto"/>
            </w:pPr>
            <w:r w:rsidRPr="000F331E">
              <w:t>Steamboat Springs Transit</w:t>
            </w:r>
          </w:p>
        </w:tc>
        <w:tc>
          <w:tcPr>
            <w:tcW w:w="2520" w:type="dxa"/>
            <w:vMerge w:val="restart"/>
            <w:tcBorders>
              <w:top w:val="dotted" w:sz="4" w:space="0" w:color="000000"/>
              <w:left w:val="single" w:sz="4" w:space="0" w:color="000000"/>
              <w:bottom w:val="dotted" w:sz="4" w:space="0" w:color="000000"/>
              <w:right w:val="single" w:sz="4" w:space="0" w:color="000000"/>
            </w:tcBorders>
            <w:shd w:val="clear" w:color="auto" w:fill="F1BDA7"/>
            <w:tcMar>
              <w:top w:w="20" w:type="dxa"/>
              <w:left w:w="20" w:type="dxa"/>
              <w:bottom w:w="0" w:type="dxa"/>
              <w:right w:w="20" w:type="dxa"/>
            </w:tcMar>
            <w:vAlign w:val="bottom"/>
            <w:hideMark/>
          </w:tcPr>
          <w:p w:rsidR="00CB1B33" w:rsidRPr="000F331E" w:rsidRDefault="00CB1B33" w:rsidP="00CB1B33">
            <w:pPr>
              <w:spacing w:after="0" w:line="240" w:lineRule="auto"/>
            </w:pPr>
            <w:r w:rsidRPr="000F331E">
              <w:rPr>
                <w:lang w:val="sk-SK"/>
              </w:rPr>
              <w:t> </w:t>
            </w:r>
          </w:p>
        </w:tc>
      </w:tr>
      <w:tr w:rsidR="00CB1B33" w:rsidRPr="000F331E" w:rsidTr="00CB1B33">
        <w:trPr>
          <w:trHeight w:val="87"/>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rPr>
                <w:i/>
                <w:iCs/>
              </w:rPr>
              <w:t>Teller County (was 5310)</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t>GVTA</w:t>
            </w:r>
          </w:p>
        </w:tc>
        <w:tc>
          <w:tcPr>
            <w:tcW w:w="2520" w:type="dxa"/>
            <w:tcBorders>
              <w:top w:val="dotted" w:sz="4" w:space="0" w:color="000000"/>
              <w:left w:val="single" w:sz="4" w:space="0" w:color="000000"/>
              <w:bottom w:val="dotted" w:sz="4" w:space="0" w:color="000000"/>
              <w:right w:val="single" w:sz="4" w:space="0" w:color="000000"/>
            </w:tcBorders>
            <w:shd w:val="clear" w:color="auto" w:fill="D5D6DD"/>
            <w:tcMar>
              <w:top w:w="20" w:type="dxa"/>
              <w:left w:w="20" w:type="dxa"/>
              <w:bottom w:w="0" w:type="dxa"/>
              <w:right w:w="20" w:type="dxa"/>
            </w:tcMar>
            <w:vAlign w:val="center"/>
            <w:hideMark/>
          </w:tcPr>
          <w:p w:rsidR="00CB1B33" w:rsidRPr="000F331E" w:rsidRDefault="00CB1B33" w:rsidP="00CB1B33">
            <w:pPr>
              <w:spacing w:after="0" w:line="240" w:lineRule="auto"/>
            </w:pPr>
            <w:r w:rsidRPr="000F331E">
              <w:t>Snowmass</w:t>
            </w:r>
          </w:p>
        </w:tc>
        <w:tc>
          <w:tcPr>
            <w:tcW w:w="2520" w:type="dxa"/>
            <w:vMerge/>
            <w:tcBorders>
              <w:top w:val="dotted" w:sz="4" w:space="0" w:color="000000"/>
              <w:left w:val="single" w:sz="4" w:space="0" w:color="000000"/>
              <w:bottom w:val="dotted" w:sz="4" w:space="0" w:color="000000"/>
              <w:right w:val="single" w:sz="4" w:space="0" w:color="000000"/>
            </w:tcBorders>
            <w:vAlign w:val="center"/>
            <w:hideMark/>
          </w:tcPr>
          <w:p w:rsidR="00CB1B33" w:rsidRPr="000F331E" w:rsidRDefault="00CB1B33" w:rsidP="00CB1B33">
            <w:pPr>
              <w:spacing w:after="0" w:line="240" w:lineRule="auto"/>
            </w:pPr>
          </w:p>
        </w:tc>
      </w:tr>
      <w:tr w:rsidR="00CB1B33" w:rsidRPr="000F331E" w:rsidTr="00CB1B33">
        <w:trPr>
          <w:trHeight w:val="50"/>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Neighbor-to-Neighbor</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t xml:space="preserve">All Points Transit </w:t>
            </w:r>
            <w:r w:rsidRPr="000F331E">
              <w:rPr>
                <w:rFonts w:cstheme="minorHAnsi"/>
              </w:rPr>
              <w:t>»</w:t>
            </w:r>
          </w:p>
        </w:tc>
        <w:tc>
          <w:tcPr>
            <w:tcW w:w="2520" w:type="dxa"/>
            <w:vMerge w:val="restart"/>
            <w:tcBorders>
              <w:top w:val="dotted" w:sz="4" w:space="0" w:color="000000"/>
              <w:left w:val="single" w:sz="4" w:space="0" w:color="000000"/>
              <w:bottom w:val="single" w:sz="4" w:space="0" w:color="000000"/>
              <w:right w:val="single" w:sz="4" w:space="0" w:color="000000"/>
            </w:tcBorders>
            <w:shd w:val="clear" w:color="auto" w:fill="D5D6DD"/>
            <w:tcMar>
              <w:top w:w="20" w:type="dxa"/>
              <w:left w:w="20" w:type="dxa"/>
              <w:bottom w:w="0" w:type="dxa"/>
              <w:right w:w="20" w:type="dxa"/>
            </w:tcMar>
            <w:vAlign w:val="bottom"/>
            <w:hideMark/>
          </w:tcPr>
          <w:p w:rsidR="00CB1B33" w:rsidRPr="000F331E" w:rsidRDefault="00CB1B33" w:rsidP="00CB1B33">
            <w:pPr>
              <w:spacing w:after="0" w:line="240" w:lineRule="auto"/>
            </w:pPr>
            <w:r w:rsidRPr="000F331E">
              <w:rPr>
                <w:lang w:val="sk-SK"/>
              </w:rPr>
              <w:t> </w:t>
            </w:r>
          </w:p>
        </w:tc>
        <w:tc>
          <w:tcPr>
            <w:tcW w:w="2520" w:type="dxa"/>
            <w:vMerge w:val="restart"/>
            <w:tcBorders>
              <w:top w:val="dotted" w:sz="4" w:space="0" w:color="000000"/>
              <w:left w:val="single" w:sz="4" w:space="0" w:color="000000"/>
              <w:bottom w:val="single" w:sz="4" w:space="0" w:color="000000"/>
              <w:right w:val="single" w:sz="4" w:space="0" w:color="000000"/>
            </w:tcBorders>
            <w:shd w:val="clear" w:color="auto" w:fill="F1BDA7"/>
            <w:tcMar>
              <w:top w:w="20" w:type="dxa"/>
              <w:left w:w="20" w:type="dxa"/>
              <w:bottom w:w="0" w:type="dxa"/>
              <w:right w:w="20" w:type="dxa"/>
            </w:tcMar>
            <w:vAlign w:val="center"/>
            <w:hideMark/>
          </w:tcPr>
          <w:p w:rsidR="00CB1B33" w:rsidRPr="000F331E" w:rsidRDefault="00CB1B33" w:rsidP="00CB1B33">
            <w:pPr>
              <w:spacing w:after="0" w:line="240" w:lineRule="auto"/>
            </w:pPr>
            <w:r w:rsidRPr="000F331E">
              <w:t>** Could also each be counted as a "group of one" as they are quite different from the others.</w:t>
            </w:r>
          </w:p>
        </w:tc>
      </w:tr>
      <w:tr w:rsidR="00CB1B33" w:rsidRPr="000F331E" w:rsidTr="00CB1B33">
        <w:trPr>
          <w:trHeight w:val="50"/>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ECCOG</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t>Glenwood Ride</w:t>
            </w:r>
          </w:p>
        </w:tc>
        <w:tc>
          <w:tcPr>
            <w:tcW w:w="2520" w:type="dxa"/>
            <w:vMerge/>
            <w:tcBorders>
              <w:top w:val="dotted" w:sz="4" w:space="0" w:color="000000"/>
              <w:left w:val="single" w:sz="4" w:space="0" w:color="000000"/>
              <w:bottom w:val="single" w:sz="4" w:space="0" w:color="000000"/>
              <w:right w:val="single" w:sz="4" w:space="0" w:color="000000"/>
            </w:tcBorders>
            <w:vAlign w:val="center"/>
            <w:hideMark/>
          </w:tcPr>
          <w:p w:rsidR="00CB1B33" w:rsidRPr="000F331E" w:rsidRDefault="00CB1B33" w:rsidP="00CB1B33">
            <w:pPr>
              <w:spacing w:after="0" w:line="240" w:lineRule="auto"/>
            </w:pPr>
          </w:p>
        </w:tc>
        <w:tc>
          <w:tcPr>
            <w:tcW w:w="2520" w:type="dxa"/>
            <w:vMerge/>
            <w:tcBorders>
              <w:top w:val="dotted" w:sz="4" w:space="0" w:color="000000"/>
              <w:left w:val="single" w:sz="4" w:space="0" w:color="000000"/>
              <w:bottom w:val="single" w:sz="4" w:space="0" w:color="000000"/>
              <w:right w:val="single" w:sz="4" w:space="0" w:color="000000"/>
            </w:tcBorders>
            <w:vAlign w:val="center"/>
            <w:hideMark/>
          </w:tcPr>
          <w:p w:rsidR="00CB1B33" w:rsidRPr="000F331E" w:rsidRDefault="00CB1B33" w:rsidP="00CB1B33">
            <w:pPr>
              <w:spacing w:after="0" w:line="240" w:lineRule="auto"/>
            </w:pPr>
          </w:p>
        </w:tc>
      </w:tr>
      <w:tr w:rsidR="00CB1B33" w:rsidRPr="000F331E" w:rsidTr="00CB1B33">
        <w:trPr>
          <w:trHeight w:val="50"/>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 xml:space="preserve">Prowers County </w:t>
            </w:r>
            <w:r w:rsidRPr="000F331E">
              <w:rPr>
                <w:rFonts w:cstheme="minorHAnsi"/>
              </w:rPr>
              <w:t>»</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t xml:space="preserve">NECALG </w:t>
            </w:r>
            <w:r w:rsidRPr="000F331E">
              <w:rPr>
                <w:rFonts w:cstheme="minorHAnsi"/>
              </w:rPr>
              <w:t>»</w:t>
            </w:r>
          </w:p>
        </w:tc>
        <w:tc>
          <w:tcPr>
            <w:tcW w:w="2520" w:type="dxa"/>
            <w:vMerge/>
            <w:tcBorders>
              <w:top w:val="dotted" w:sz="4" w:space="0" w:color="000000"/>
              <w:left w:val="single" w:sz="4" w:space="0" w:color="000000"/>
              <w:bottom w:val="single" w:sz="4" w:space="0" w:color="000000"/>
              <w:right w:val="single" w:sz="4" w:space="0" w:color="000000"/>
            </w:tcBorders>
            <w:vAlign w:val="center"/>
            <w:hideMark/>
          </w:tcPr>
          <w:p w:rsidR="00CB1B33" w:rsidRPr="000F331E" w:rsidRDefault="00CB1B33" w:rsidP="00CB1B33">
            <w:pPr>
              <w:spacing w:after="0" w:line="240" w:lineRule="auto"/>
            </w:pPr>
          </w:p>
        </w:tc>
        <w:tc>
          <w:tcPr>
            <w:tcW w:w="2520" w:type="dxa"/>
            <w:vMerge/>
            <w:tcBorders>
              <w:top w:val="dotted" w:sz="4" w:space="0" w:color="000000"/>
              <w:left w:val="single" w:sz="4" w:space="0" w:color="000000"/>
              <w:bottom w:val="single" w:sz="4" w:space="0" w:color="000000"/>
              <w:right w:val="single" w:sz="4" w:space="0" w:color="000000"/>
            </w:tcBorders>
            <w:vAlign w:val="center"/>
            <w:hideMark/>
          </w:tcPr>
          <w:p w:rsidR="00CB1B33" w:rsidRPr="000F331E" w:rsidRDefault="00CB1B33" w:rsidP="00CB1B33">
            <w:pPr>
              <w:spacing w:after="0" w:line="240" w:lineRule="auto"/>
            </w:pPr>
          </w:p>
        </w:tc>
      </w:tr>
      <w:tr w:rsidR="00CB1B33" w:rsidRPr="000F331E" w:rsidTr="00CB1B33">
        <w:trPr>
          <w:trHeight w:val="50"/>
        </w:trPr>
        <w:tc>
          <w:tcPr>
            <w:tcW w:w="2155" w:type="dxa"/>
            <w:tcBorders>
              <w:top w:val="dotted" w:sz="4" w:space="0" w:color="000000"/>
              <w:left w:val="single" w:sz="4" w:space="0" w:color="000000"/>
              <w:bottom w:val="dotted"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t xml:space="preserve">SRC </w:t>
            </w:r>
          </w:p>
        </w:tc>
        <w:tc>
          <w:tcPr>
            <w:tcW w:w="2340" w:type="dxa"/>
            <w:tcBorders>
              <w:top w:val="dotted" w:sz="4" w:space="0" w:color="000000"/>
              <w:left w:val="single" w:sz="4" w:space="0" w:color="000000"/>
              <w:bottom w:val="dotted" w:sz="4" w:space="0" w:color="000000"/>
              <w:right w:val="single" w:sz="4" w:space="0" w:color="000000"/>
            </w:tcBorders>
            <w:shd w:val="clear" w:color="auto" w:fill="B9C4DF"/>
            <w:tcMar>
              <w:top w:w="20" w:type="dxa"/>
              <w:left w:w="20" w:type="dxa"/>
              <w:bottom w:w="0" w:type="dxa"/>
              <w:right w:w="20" w:type="dxa"/>
            </w:tcMar>
            <w:vAlign w:val="center"/>
            <w:hideMark/>
          </w:tcPr>
          <w:p w:rsidR="00CB1B33" w:rsidRPr="000F331E" w:rsidRDefault="00CB1B33" w:rsidP="00CB1B33">
            <w:pPr>
              <w:spacing w:after="0" w:line="240" w:lineRule="auto"/>
            </w:pPr>
            <w:r w:rsidRPr="000F331E">
              <w:t>CB Mountain Express</w:t>
            </w:r>
          </w:p>
        </w:tc>
        <w:tc>
          <w:tcPr>
            <w:tcW w:w="2520" w:type="dxa"/>
            <w:vMerge/>
            <w:tcBorders>
              <w:top w:val="dotted" w:sz="4" w:space="0" w:color="000000"/>
              <w:left w:val="single" w:sz="4" w:space="0" w:color="000000"/>
              <w:bottom w:val="single" w:sz="4" w:space="0" w:color="000000"/>
              <w:right w:val="single" w:sz="4" w:space="0" w:color="000000"/>
            </w:tcBorders>
            <w:vAlign w:val="center"/>
            <w:hideMark/>
          </w:tcPr>
          <w:p w:rsidR="00CB1B33" w:rsidRPr="000F331E" w:rsidRDefault="00CB1B33" w:rsidP="00CB1B33">
            <w:pPr>
              <w:spacing w:after="0" w:line="240" w:lineRule="auto"/>
            </w:pPr>
          </w:p>
        </w:tc>
        <w:tc>
          <w:tcPr>
            <w:tcW w:w="2520" w:type="dxa"/>
            <w:vMerge/>
            <w:tcBorders>
              <w:top w:val="dotted" w:sz="4" w:space="0" w:color="000000"/>
              <w:left w:val="single" w:sz="4" w:space="0" w:color="000000"/>
              <w:bottom w:val="single" w:sz="4" w:space="0" w:color="000000"/>
              <w:right w:val="single" w:sz="4" w:space="0" w:color="000000"/>
            </w:tcBorders>
            <w:vAlign w:val="center"/>
            <w:hideMark/>
          </w:tcPr>
          <w:p w:rsidR="00CB1B33" w:rsidRPr="000F331E" w:rsidRDefault="00CB1B33" w:rsidP="00CB1B33">
            <w:pPr>
              <w:spacing w:after="0" w:line="240" w:lineRule="auto"/>
            </w:pPr>
          </w:p>
        </w:tc>
      </w:tr>
      <w:tr w:rsidR="00CB1B33" w:rsidRPr="000F331E" w:rsidTr="00CB1B33">
        <w:trPr>
          <w:trHeight w:val="50"/>
        </w:trPr>
        <w:tc>
          <w:tcPr>
            <w:tcW w:w="2155" w:type="dxa"/>
            <w:tcBorders>
              <w:top w:val="dotted" w:sz="4" w:space="0" w:color="000000"/>
              <w:left w:val="single" w:sz="4" w:space="0" w:color="000000"/>
              <w:bottom w:val="single" w:sz="4" w:space="0" w:color="000000"/>
              <w:right w:val="single" w:sz="4" w:space="0" w:color="000000"/>
            </w:tcBorders>
            <w:shd w:val="clear" w:color="auto" w:fill="FFEA95"/>
            <w:tcMar>
              <w:top w:w="20" w:type="dxa"/>
              <w:left w:w="20" w:type="dxa"/>
              <w:bottom w:w="0" w:type="dxa"/>
              <w:right w:w="20" w:type="dxa"/>
            </w:tcMar>
            <w:vAlign w:val="center"/>
            <w:hideMark/>
          </w:tcPr>
          <w:p w:rsidR="00CB1B33" w:rsidRPr="000F331E" w:rsidRDefault="00CB1B33" w:rsidP="00CB1B33">
            <w:pPr>
              <w:spacing w:after="0" w:line="240" w:lineRule="auto"/>
            </w:pPr>
            <w:r w:rsidRPr="000F331E">
              <w:rPr>
                <w:lang w:val="it-IT"/>
              </w:rPr>
              <w:t xml:space="preserve">Via </w:t>
            </w:r>
            <w:r w:rsidRPr="000F331E">
              <w:rPr>
                <w:rFonts w:cstheme="minorHAnsi"/>
                <w:lang w:val="it-IT"/>
              </w:rPr>
              <w:t>»</w:t>
            </w:r>
          </w:p>
        </w:tc>
        <w:tc>
          <w:tcPr>
            <w:tcW w:w="2340" w:type="dxa"/>
            <w:tcBorders>
              <w:top w:val="dotted" w:sz="4" w:space="0" w:color="000000"/>
              <w:left w:val="single" w:sz="4" w:space="0" w:color="000000"/>
              <w:bottom w:val="single" w:sz="4" w:space="0" w:color="000000"/>
              <w:right w:val="single" w:sz="4" w:space="0" w:color="000000"/>
            </w:tcBorders>
            <w:shd w:val="clear" w:color="auto" w:fill="B9C4DF"/>
            <w:tcMar>
              <w:top w:w="20" w:type="dxa"/>
              <w:left w:w="20" w:type="dxa"/>
              <w:bottom w:w="0" w:type="dxa"/>
              <w:right w:w="20" w:type="dxa"/>
            </w:tcMar>
            <w:vAlign w:val="bottom"/>
            <w:hideMark/>
          </w:tcPr>
          <w:p w:rsidR="00CB1B33" w:rsidRPr="000F331E" w:rsidRDefault="00CB1B33" w:rsidP="00CB1B33">
            <w:pPr>
              <w:spacing w:after="0" w:line="240" w:lineRule="auto"/>
            </w:pPr>
            <w:r w:rsidRPr="000F331E">
              <w:rPr>
                <w:lang w:val="sk-SK"/>
              </w:rPr>
              <w:t> </w:t>
            </w:r>
          </w:p>
        </w:tc>
        <w:tc>
          <w:tcPr>
            <w:tcW w:w="2520" w:type="dxa"/>
            <w:vMerge/>
            <w:tcBorders>
              <w:top w:val="dotted" w:sz="4" w:space="0" w:color="000000"/>
              <w:left w:val="single" w:sz="4" w:space="0" w:color="000000"/>
              <w:bottom w:val="single" w:sz="4" w:space="0" w:color="000000"/>
              <w:right w:val="single" w:sz="4" w:space="0" w:color="000000"/>
            </w:tcBorders>
            <w:vAlign w:val="center"/>
            <w:hideMark/>
          </w:tcPr>
          <w:p w:rsidR="00CB1B33" w:rsidRPr="000F331E" w:rsidRDefault="00CB1B33" w:rsidP="00CB1B33">
            <w:pPr>
              <w:spacing w:after="0" w:line="240" w:lineRule="auto"/>
            </w:pPr>
          </w:p>
        </w:tc>
        <w:tc>
          <w:tcPr>
            <w:tcW w:w="2520" w:type="dxa"/>
            <w:vMerge/>
            <w:tcBorders>
              <w:top w:val="dotted" w:sz="4" w:space="0" w:color="000000"/>
              <w:left w:val="single" w:sz="4" w:space="0" w:color="000000"/>
              <w:bottom w:val="single" w:sz="4" w:space="0" w:color="000000"/>
              <w:right w:val="single" w:sz="4" w:space="0" w:color="000000"/>
            </w:tcBorders>
            <w:vAlign w:val="center"/>
            <w:hideMark/>
          </w:tcPr>
          <w:p w:rsidR="00CB1B33" w:rsidRPr="000F331E" w:rsidRDefault="00CB1B33" w:rsidP="00CB1B33">
            <w:pPr>
              <w:spacing w:after="0" w:line="240" w:lineRule="auto"/>
            </w:pPr>
          </w:p>
        </w:tc>
      </w:tr>
    </w:tbl>
    <w:p w:rsidR="00CB1B33" w:rsidRPr="000F331E" w:rsidRDefault="00CB1B33" w:rsidP="00CB1B33">
      <w:pPr>
        <w:pStyle w:val="ListParagraph"/>
      </w:pPr>
    </w:p>
    <w:p w:rsidR="005C012F" w:rsidRPr="000F331E" w:rsidRDefault="005C012F" w:rsidP="005C012F">
      <w:pPr>
        <w:pStyle w:val="ListParagraph"/>
        <w:numPr>
          <w:ilvl w:val="0"/>
          <w:numId w:val="1"/>
        </w:numPr>
      </w:pPr>
      <w:r w:rsidRPr="000F331E">
        <w:rPr>
          <w:rFonts w:cs="Arial"/>
          <w:color w:val="000000"/>
        </w:rPr>
        <w:lastRenderedPageBreak/>
        <w:t>Within each size category agency budgets are used to calculate each agency's’ share (percentage) of the pot allotted to their category-this becomes their base award</w:t>
      </w:r>
    </w:p>
    <w:p w:rsidR="005C012F" w:rsidRPr="000F331E" w:rsidRDefault="005C012F" w:rsidP="005C012F">
      <w:pPr>
        <w:pStyle w:val="ListParagraph"/>
        <w:rPr>
          <w:rFonts w:cs="Arial"/>
          <w:color w:val="FF0000"/>
        </w:rPr>
      </w:pPr>
    </w:p>
    <w:tbl>
      <w:tblPr>
        <w:tblStyle w:val="TableGrid"/>
        <w:tblW w:w="0" w:type="auto"/>
        <w:tblInd w:w="720" w:type="dxa"/>
        <w:tblLook w:val="04A0" w:firstRow="1" w:lastRow="0" w:firstColumn="1" w:lastColumn="0" w:noHBand="0" w:noVBand="1"/>
      </w:tblPr>
      <w:tblGrid>
        <w:gridCol w:w="1705"/>
        <w:gridCol w:w="1734"/>
        <w:gridCol w:w="1707"/>
        <w:gridCol w:w="1764"/>
        <w:gridCol w:w="1720"/>
      </w:tblGrid>
      <w:tr w:rsidR="00CB1B33" w:rsidRPr="000F331E" w:rsidTr="00CB1B33">
        <w:tc>
          <w:tcPr>
            <w:tcW w:w="1870" w:type="dxa"/>
          </w:tcPr>
          <w:p w:rsidR="00CB1B33" w:rsidRPr="000F331E" w:rsidRDefault="00CB1B33" w:rsidP="005C012F">
            <w:pPr>
              <w:pStyle w:val="ListParagraph"/>
              <w:ind w:left="0"/>
              <w:rPr>
                <w:rFonts w:cs="Arial"/>
              </w:rPr>
            </w:pPr>
          </w:p>
        </w:tc>
        <w:tc>
          <w:tcPr>
            <w:tcW w:w="1870" w:type="dxa"/>
          </w:tcPr>
          <w:p w:rsidR="00CB1B33" w:rsidRPr="000F331E" w:rsidRDefault="00CB1B33" w:rsidP="00CB1B33">
            <w:pPr>
              <w:pStyle w:val="ListParagraph"/>
              <w:ind w:left="0"/>
              <w:jc w:val="center"/>
              <w:rPr>
                <w:rFonts w:cs="Arial"/>
                <w:b/>
              </w:rPr>
            </w:pPr>
            <w:r w:rsidRPr="000F331E">
              <w:rPr>
                <w:rFonts w:cs="Arial"/>
                <w:b/>
              </w:rPr>
              <w:t>Category</w:t>
            </w:r>
          </w:p>
        </w:tc>
        <w:tc>
          <w:tcPr>
            <w:tcW w:w="1870" w:type="dxa"/>
          </w:tcPr>
          <w:p w:rsidR="00CB1B33" w:rsidRPr="000F331E" w:rsidRDefault="00CB1B33" w:rsidP="00CB1B33">
            <w:pPr>
              <w:pStyle w:val="ListParagraph"/>
              <w:ind w:left="0"/>
              <w:jc w:val="center"/>
              <w:rPr>
                <w:rFonts w:cs="Arial"/>
                <w:b/>
              </w:rPr>
            </w:pPr>
            <w:r w:rsidRPr="000F331E">
              <w:rPr>
                <w:rFonts w:cs="Arial"/>
                <w:b/>
              </w:rPr>
              <w:t>% of Budget</w:t>
            </w:r>
          </w:p>
        </w:tc>
        <w:tc>
          <w:tcPr>
            <w:tcW w:w="1870" w:type="dxa"/>
          </w:tcPr>
          <w:p w:rsidR="00CB1B33" w:rsidRPr="000F331E" w:rsidRDefault="00CB1B33" w:rsidP="00CB1B33">
            <w:pPr>
              <w:pStyle w:val="ListParagraph"/>
              <w:ind w:left="0"/>
              <w:jc w:val="center"/>
              <w:rPr>
                <w:rFonts w:cs="Arial"/>
                <w:b/>
              </w:rPr>
            </w:pPr>
            <w:r w:rsidRPr="000F331E">
              <w:rPr>
                <w:rFonts w:cs="Arial"/>
                <w:b/>
              </w:rPr>
              <w:t>Budget</w:t>
            </w:r>
          </w:p>
        </w:tc>
        <w:tc>
          <w:tcPr>
            <w:tcW w:w="1870" w:type="dxa"/>
          </w:tcPr>
          <w:p w:rsidR="00CB1B33" w:rsidRPr="000F331E" w:rsidRDefault="00CB1B33" w:rsidP="00CB1B33">
            <w:pPr>
              <w:pStyle w:val="ListParagraph"/>
              <w:ind w:left="0"/>
              <w:jc w:val="center"/>
              <w:rPr>
                <w:rFonts w:cs="Arial"/>
                <w:b/>
              </w:rPr>
            </w:pPr>
            <w:r w:rsidRPr="000F331E">
              <w:rPr>
                <w:rFonts w:cs="Arial"/>
                <w:b/>
              </w:rPr>
              <w:t>Funding</w:t>
            </w:r>
          </w:p>
        </w:tc>
      </w:tr>
      <w:tr w:rsidR="00CB1B33" w:rsidRPr="000F331E" w:rsidTr="00CB1B33">
        <w:tc>
          <w:tcPr>
            <w:tcW w:w="1870" w:type="dxa"/>
          </w:tcPr>
          <w:p w:rsidR="00CB1B33" w:rsidRPr="000F331E" w:rsidRDefault="00CB1B33" w:rsidP="005C012F">
            <w:pPr>
              <w:pStyle w:val="ListParagraph"/>
              <w:ind w:left="0"/>
              <w:rPr>
                <w:rFonts w:cs="Arial"/>
              </w:rPr>
            </w:pPr>
            <w:r w:rsidRPr="000F331E">
              <w:rPr>
                <w:rFonts w:cs="Arial"/>
              </w:rPr>
              <w:t>Agency A</w:t>
            </w:r>
          </w:p>
        </w:tc>
        <w:tc>
          <w:tcPr>
            <w:tcW w:w="1870" w:type="dxa"/>
          </w:tcPr>
          <w:p w:rsidR="00CB1B33" w:rsidRPr="000F331E" w:rsidRDefault="00CB1B33" w:rsidP="005C012F">
            <w:pPr>
              <w:pStyle w:val="ListParagraph"/>
              <w:ind w:left="0"/>
              <w:rPr>
                <w:rFonts w:cs="Arial"/>
              </w:rPr>
            </w:pPr>
            <w:r w:rsidRPr="000F331E">
              <w:rPr>
                <w:rFonts w:cs="Arial"/>
              </w:rPr>
              <w:t>Small</w:t>
            </w:r>
          </w:p>
        </w:tc>
        <w:tc>
          <w:tcPr>
            <w:tcW w:w="1870" w:type="dxa"/>
          </w:tcPr>
          <w:p w:rsidR="00CB1B33" w:rsidRPr="000F331E" w:rsidRDefault="00CB1B33" w:rsidP="00CB1B33">
            <w:pPr>
              <w:pStyle w:val="ListParagraph"/>
              <w:ind w:left="0"/>
              <w:jc w:val="center"/>
              <w:rPr>
                <w:rFonts w:cs="Arial"/>
              </w:rPr>
            </w:pPr>
            <w:r w:rsidRPr="000F331E">
              <w:rPr>
                <w:rFonts w:cs="Arial"/>
              </w:rPr>
              <w:t>50%</w:t>
            </w:r>
          </w:p>
        </w:tc>
        <w:tc>
          <w:tcPr>
            <w:tcW w:w="1870" w:type="dxa"/>
          </w:tcPr>
          <w:p w:rsidR="00CB1B33" w:rsidRPr="000F331E" w:rsidRDefault="00CB1B33" w:rsidP="00CB1B33">
            <w:pPr>
              <w:pStyle w:val="ListParagraph"/>
              <w:ind w:left="0"/>
              <w:jc w:val="center"/>
              <w:rPr>
                <w:rFonts w:cs="Arial"/>
              </w:rPr>
            </w:pPr>
            <w:r w:rsidRPr="000F331E">
              <w:rPr>
                <w:rFonts w:cs="Arial"/>
              </w:rPr>
              <w:t>$150,000</w:t>
            </w:r>
          </w:p>
        </w:tc>
        <w:tc>
          <w:tcPr>
            <w:tcW w:w="1870" w:type="dxa"/>
          </w:tcPr>
          <w:p w:rsidR="00CB1B33" w:rsidRPr="000F331E" w:rsidRDefault="00CB1B33" w:rsidP="00CB1B33">
            <w:pPr>
              <w:pStyle w:val="ListParagraph"/>
              <w:ind w:left="0"/>
              <w:jc w:val="center"/>
              <w:rPr>
                <w:rFonts w:cs="Arial"/>
              </w:rPr>
            </w:pPr>
            <w:r w:rsidRPr="000F331E">
              <w:rPr>
                <w:rFonts w:cs="Arial"/>
              </w:rPr>
              <w:t>75,000</w:t>
            </w:r>
          </w:p>
        </w:tc>
      </w:tr>
      <w:tr w:rsidR="00CB1B33" w:rsidRPr="000F331E" w:rsidTr="00CB1B33">
        <w:tc>
          <w:tcPr>
            <w:tcW w:w="1870" w:type="dxa"/>
          </w:tcPr>
          <w:p w:rsidR="00CB1B33" w:rsidRPr="000F331E" w:rsidRDefault="00CB1B33" w:rsidP="005C012F">
            <w:pPr>
              <w:pStyle w:val="ListParagraph"/>
              <w:ind w:left="0"/>
              <w:rPr>
                <w:rFonts w:cs="Arial"/>
              </w:rPr>
            </w:pPr>
            <w:r w:rsidRPr="000F331E">
              <w:rPr>
                <w:rFonts w:cs="Arial"/>
              </w:rPr>
              <w:t>Agency B</w:t>
            </w:r>
          </w:p>
        </w:tc>
        <w:tc>
          <w:tcPr>
            <w:tcW w:w="1870" w:type="dxa"/>
          </w:tcPr>
          <w:p w:rsidR="00CB1B33" w:rsidRPr="000F331E" w:rsidRDefault="00CB1B33" w:rsidP="005C012F">
            <w:pPr>
              <w:pStyle w:val="ListParagraph"/>
              <w:ind w:left="0"/>
              <w:rPr>
                <w:rFonts w:cs="Arial"/>
              </w:rPr>
            </w:pPr>
            <w:r w:rsidRPr="000F331E">
              <w:rPr>
                <w:rFonts w:cs="Arial"/>
              </w:rPr>
              <w:t>Medium</w:t>
            </w:r>
          </w:p>
        </w:tc>
        <w:tc>
          <w:tcPr>
            <w:tcW w:w="1870" w:type="dxa"/>
          </w:tcPr>
          <w:p w:rsidR="00CB1B33" w:rsidRPr="000F331E" w:rsidRDefault="00CB1B33" w:rsidP="00CB1B33">
            <w:pPr>
              <w:pStyle w:val="ListParagraph"/>
              <w:ind w:left="0"/>
              <w:jc w:val="center"/>
              <w:rPr>
                <w:rFonts w:cs="Arial"/>
              </w:rPr>
            </w:pPr>
            <w:r w:rsidRPr="000F331E">
              <w:rPr>
                <w:rFonts w:cs="Arial"/>
              </w:rPr>
              <w:t>30%</w:t>
            </w:r>
          </w:p>
        </w:tc>
        <w:tc>
          <w:tcPr>
            <w:tcW w:w="1870" w:type="dxa"/>
          </w:tcPr>
          <w:p w:rsidR="00CB1B33" w:rsidRPr="000F331E" w:rsidRDefault="00CB1B33" w:rsidP="00CB1B33">
            <w:pPr>
              <w:pStyle w:val="ListParagraph"/>
              <w:ind w:left="0"/>
              <w:jc w:val="center"/>
              <w:rPr>
                <w:rFonts w:cs="Arial"/>
              </w:rPr>
            </w:pPr>
            <w:r w:rsidRPr="000F331E">
              <w:rPr>
                <w:rFonts w:cs="Arial"/>
              </w:rPr>
              <w:t>600,000</w:t>
            </w:r>
          </w:p>
        </w:tc>
        <w:tc>
          <w:tcPr>
            <w:tcW w:w="1870" w:type="dxa"/>
          </w:tcPr>
          <w:p w:rsidR="00CB1B33" w:rsidRPr="000F331E" w:rsidRDefault="00CB1B33" w:rsidP="00CB1B33">
            <w:pPr>
              <w:pStyle w:val="ListParagraph"/>
              <w:ind w:left="0"/>
              <w:jc w:val="center"/>
              <w:rPr>
                <w:rFonts w:cs="Arial"/>
              </w:rPr>
            </w:pPr>
            <w:r w:rsidRPr="000F331E">
              <w:rPr>
                <w:rFonts w:cs="Arial"/>
              </w:rPr>
              <w:t>180,000</w:t>
            </w:r>
          </w:p>
        </w:tc>
      </w:tr>
      <w:tr w:rsidR="00CB1B33" w:rsidRPr="000F331E" w:rsidTr="00CB1B33">
        <w:tc>
          <w:tcPr>
            <w:tcW w:w="1870" w:type="dxa"/>
          </w:tcPr>
          <w:p w:rsidR="00CB1B33" w:rsidRPr="000F331E" w:rsidRDefault="00CB1B33" w:rsidP="005C012F">
            <w:pPr>
              <w:pStyle w:val="ListParagraph"/>
              <w:ind w:left="0"/>
              <w:rPr>
                <w:rFonts w:cs="Arial"/>
              </w:rPr>
            </w:pPr>
            <w:r w:rsidRPr="000F331E">
              <w:rPr>
                <w:rFonts w:cs="Arial"/>
              </w:rPr>
              <w:t>Agency C</w:t>
            </w:r>
          </w:p>
        </w:tc>
        <w:tc>
          <w:tcPr>
            <w:tcW w:w="1870" w:type="dxa"/>
          </w:tcPr>
          <w:p w:rsidR="00CB1B33" w:rsidRPr="000F331E" w:rsidRDefault="00CB1B33" w:rsidP="005C012F">
            <w:pPr>
              <w:pStyle w:val="ListParagraph"/>
              <w:ind w:left="0"/>
              <w:rPr>
                <w:rFonts w:cs="Arial"/>
              </w:rPr>
            </w:pPr>
            <w:r w:rsidRPr="000F331E">
              <w:rPr>
                <w:rFonts w:cs="Arial"/>
              </w:rPr>
              <w:t>Large</w:t>
            </w:r>
          </w:p>
        </w:tc>
        <w:tc>
          <w:tcPr>
            <w:tcW w:w="1870" w:type="dxa"/>
          </w:tcPr>
          <w:p w:rsidR="00CB1B33" w:rsidRPr="000F331E" w:rsidRDefault="00CB1B33" w:rsidP="00CB1B33">
            <w:pPr>
              <w:pStyle w:val="ListParagraph"/>
              <w:ind w:left="0"/>
              <w:jc w:val="center"/>
              <w:rPr>
                <w:rFonts w:cs="Arial"/>
              </w:rPr>
            </w:pPr>
            <w:r w:rsidRPr="000F331E">
              <w:rPr>
                <w:rFonts w:cs="Arial"/>
              </w:rPr>
              <w:t>15%</w:t>
            </w:r>
          </w:p>
        </w:tc>
        <w:tc>
          <w:tcPr>
            <w:tcW w:w="1870" w:type="dxa"/>
          </w:tcPr>
          <w:p w:rsidR="00CB1B33" w:rsidRPr="000F331E" w:rsidRDefault="00CB1B33" w:rsidP="00CB1B33">
            <w:pPr>
              <w:pStyle w:val="ListParagraph"/>
              <w:ind w:left="0"/>
              <w:jc w:val="center"/>
              <w:rPr>
                <w:rFonts w:cs="Arial"/>
              </w:rPr>
            </w:pPr>
            <w:r w:rsidRPr="000F331E">
              <w:rPr>
                <w:rFonts w:cs="Arial"/>
              </w:rPr>
              <w:t>2,000,00</w:t>
            </w:r>
          </w:p>
        </w:tc>
        <w:tc>
          <w:tcPr>
            <w:tcW w:w="1870" w:type="dxa"/>
          </w:tcPr>
          <w:p w:rsidR="00CB1B33" w:rsidRPr="000F331E" w:rsidRDefault="00CB1B33" w:rsidP="00CB1B33">
            <w:pPr>
              <w:pStyle w:val="ListParagraph"/>
              <w:ind w:left="0"/>
              <w:jc w:val="center"/>
              <w:rPr>
                <w:rFonts w:cs="Arial"/>
              </w:rPr>
            </w:pPr>
            <w:r w:rsidRPr="000F331E">
              <w:rPr>
                <w:rFonts w:cs="Arial"/>
              </w:rPr>
              <w:t>300,000</w:t>
            </w:r>
          </w:p>
        </w:tc>
      </w:tr>
      <w:tr w:rsidR="00CB1B33" w:rsidRPr="000F331E" w:rsidTr="00CB1B33">
        <w:tc>
          <w:tcPr>
            <w:tcW w:w="1870" w:type="dxa"/>
          </w:tcPr>
          <w:p w:rsidR="00CB1B33" w:rsidRPr="000F331E" w:rsidRDefault="00CB1B33" w:rsidP="005C012F">
            <w:pPr>
              <w:pStyle w:val="ListParagraph"/>
              <w:ind w:left="0"/>
              <w:rPr>
                <w:rFonts w:cs="Arial"/>
              </w:rPr>
            </w:pPr>
            <w:r w:rsidRPr="000F331E">
              <w:rPr>
                <w:rFonts w:cs="Arial"/>
              </w:rPr>
              <w:t>Agency D</w:t>
            </w:r>
          </w:p>
        </w:tc>
        <w:tc>
          <w:tcPr>
            <w:tcW w:w="1870" w:type="dxa"/>
          </w:tcPr>
          <w:p w:rsidR="00CB1B33" w:rsidRPr="000F331E" w:rsidRDefault="00CB1B33" w:rsidP="005C012F">
            <w:pPr>
              <w:pStyle w:val="ListParagraph"/>
              <w:ind w:left="0"/>
              <w:rPr>
                <w:rFonts w:cs="Arial"/>
              </w:rPr>
            </w:pPr>
            <w:r w:rsidRPr="000F331E">
              <w:rPr>
                <w:rFonts w:cs="Arial"/>
              </w:rPr>
              <w:t>Very Large</w:t>
            </w:r>
          </w:p>
        </w:tc>
        <w:tc>
          <w:tcPr>
            <w:tcW w:w="1870" w:type="dxa"/>
          </w:tcPr>
          <w:p w:rsidR="00CB1B33" w:rsidRPr="000F331E" w:rsidRDefault="00CB1B33" w:rsidP="00CB1B33">
            <w:pPr>
              <w:pStyle w:val="ListParagraph"/>
              <w:ind w:left="0"/>
              <w:jc w:val="center"/>
              <w:rPr>
                <w:rFonts w:cs="Arial"/>
              </w:rPr>
            </w:pPr>
            <w:r w:rsidRPr="000F331E">
              <w:rPr>
                <w:rFonts w:cs="Arial"/>
              </w:rPr>
              <w:t>4%</w:t>
            </w:r>
          </w:p>
        </w:tc>
        <w:tc>
          <w:tcPr>
            <w:tcW w:w="1870" w:type="dxa"/>
          </w:tcPr>
          <w:p w:rsidR="00CB1B33" w:rsidRPr="000F331E" w:rsidRDefault="00CB1B33" w:rsidP="00CB1B33">
            <w:pPr>
              <w:pStyle w:val="ListParagraph"/>
              <w:ind w:left="0"/>
              <w:jc w:val="center"/>
              <w:rPr>
                <w:rFonts w:cs="Arial"/>
              </w:rPr>
            </w:pPr>
            <w:r w:rsidRPr="000F331E">
              <w:rPr>
                <w:rFonts w:cs="Arial"/>
              </w:rPr>
              <w:t>12,000,000</w:t>
            </w:r>
          </w:p>
        </w:tc>
        <w:tc>
          <w:tcPr>
            <w:tcW w:w="1870" w:type="dxa"/>
          </w:tcPr>
          <w:p w:rsidR="00CB1B33" w:rsidRPr="000F331E" w:rsidRDefault="00CB1B33" w:rsidP="00CB1B33">
            <w:pPr>
              <w:pStyle w:val="ListParagraph"/>
              <w:ind w:left="0"/>
              <w:jc w:val="center"/>
              <w:rPr>
                <w:rFonts w:cs="Arial"/>
              </w:rPr>
            </w:pPr>
            <w:r w:rsidRPr="000F331E">
              <w:rPr>
                <w:rFonts w:cs="Arial"/>
              </w:rPr>
              <w:t>420,000</w:t>
            </w:r>
          </w:p>
        </w:tc>
      </w:tr>
    </w:tbl>
    <w:p w:rsidR="00CB1B33" w:rsidRPr="000F331E" w:rsidRDefault="00CB1B33" w:rsidP="005C012F">
      <w:pPr>
        <w:pStyle w:val="ListParagraph"/>
        <w:rPr>
          <w:rFonts w:cs="Arial"/>
          <w:color w:val="FF0000"/>
        </w:rPr>
      </w:pPr>
    </w:p>
    <w:p w:rsidR="00044983" w:rsidRPr="000F331E" w:rsidRDefault="00044983" w:rsidP="005C012F">
      <w:pPr>
        <w:pStyle w:val="ListParagraph"/>
        <w:rPr>
          <w:color w:val="FF0000"/>
        </w:rPr>
      </w:pPr>
    </w:p>
    <w:p w:rsidR="005C012F" w:rsidRPr="000F331E" w:rsidRDefault="005C012F" w:rsidP="008A12CE">
      <w:pPr>
        <w:pStyle w:val="ListParagraph"/>
        <w:numPr>
          <w:ilvl w:val="0"/>
          <w:numId w:val="1"/>
        </w:numPr>
      </w:pPr>
      <w:r w:rsidRPr="000F331E">
        <w:rPr>
          <w:rFonts w:cs="Arial"/>
          <w:color w:val="000000"/>
        </w:rPr>
        <w:t>A percentage of the total funding would be held out of the total base amount to be awarded on various aspects of an agency's program, we have been calling these extra factors. Extra factors could include things like how many jurisdictions an agency serves, how much human services transportation they provide, the number of employment trips, low income population served etc</w:t>
      </w:r>
      <w:r w:rsidR="00A37D94" w:rsidRPr="000F331E">
        <w:rPr>
          <w:rFonts w:cs="Arial"/>
          <w:color w:val="000000"/>
        </w:rPr>
        <w:t>.</w:t>
      </w:r>
    </w:p>
    <w:p w:rsidR="00A37D94" w:rsidRPr="000F331E" w:rsidRDefault="00A37D94" w:rsidP="00A37D94">
      <w:pPr>
        <w:pStyle w:val="ListParagraph"/>
      </w:pPr>
    </w:p>
    <w:tbl>
      <w:tblPr>
        <w:tblStyle w:val="TableGrid"/>
        <w:tblW w:w="0" w:type="auto"/>
        <w:tblLook w:val="04A0" w:firstRow="1" w:lastRow="0" w:firstColumn="1" w:lastColumn="0" w:noHBand="0" w:noVBand="1"/>
      </w:tblPr>
      <w:tblGrid>
        <w:gridCol w:w="1168"/>
        <w:gridCol w:w="1168"/>
        <w:gridCol w:w="809"/>
        <w:gridCol w:w="900"/>
        <w:gridCol w:w="810"/>
        <w:gridCol w:w="630"/>
        <w:gridCol w:w="1170"/>
        <w:gridCol w:w="1260"/>
      </w:tblGrid>
      <w:tr w:rsidR="008A12CE" w:rsidRPr="000F331E" w:rsidTr="004A4150">
        <w:tc>
          <w:tcPr>
            <w:tcW w:w="1168" w:type="dxa"/>
          </w:tcPr>
          <w:p w:rsidR="008A12CE" w:rsidRPr="000F331E" w:rsidRDefault="008A12CE" w:rsidP="008A12CE"/>
        </w:tc>
        <w:tc>
          <w:tcPr>
            <w:tcW w:w="1168" w:type="dxa"/>
          </w:tcPr>
          <w:p w:rsidR="008A12CE" w:rsidRPr="000F331E" w:rsidRDefault="008A12CE" w:rsidP="008A12CE">
            <w:r w:rsidRPr="000F331E">
              <w:t>Base</w:t>
            </w:r>
          </w:p>
        </w:tc>
        <w:tc>
          <w:tcPr>
            <w:tcW w:w="3149" w:type="dxa"/>
            <w:gridSpan w:val="4"/>
          </w:tcPr>
          <w:p w:rsidR="008A12CE" w:rsidRPr="000F331E" w:rsidRDefault="008A12CE" w:rsidP="008A12CE">
            <w:pPr>
              <w:jc w:val="center"/>
            </w:pPr>
            <w:r w:rsidRPr="000F331E">
              <w:t>Extras*</w:t>
            </w:r>
          </w:p>
        </w:tc>
        <w:tc>
          <w:tcPr>
            <w:tcW w:w="1170" w:type="dxa"/>
          </w:tcPr>
          <w:p w:rsidR="008A12CE" w:rsidRPr="000F331E" w:rsidRDefault="008A12CE" w:rsidP="008A12CE">
            <w:r w:rsidRPr="000F331E">
              <w:t>Extra $</w:t>
            </w:r>
          </w:p>
        </w:tc>
        <w:tc>
          <w:tcPr>
            <w:tcW w:w="1260" w:type="dxa"/>
          </w:tcPr>
          <w:p w:rsidR="008A12CE" w:rsidRPr="000F331E" w:rsidRDefault="008A12CE" w:rsidP="008A12CE">
            <w:r w:rsidRPr="000F331E">
              <w:t>Total</w:t>
            </w:r>
          </w:p>
        </w:tc>
      </w:tr>
      <w:tr w:rsidR="008A12CE" w:rsidRPr="000F331E" w:rsidTr="004A4150">
        <w:tc>
          <w:tcPr>
            <w:tcW w:w="1168" w:type="dxa"/>
          </w:tcPr>
          <w:p w:rsidR="008A12CE" w:rsidRPr="000F331E" w:rsidRDefault="008A12CE" w:rsidP="008A12CE"/>
        </w:tc>
        <w:tc>
          <w:tcPr>
            <w:tcW w:w="1168" w:type="dxa"/>
          </w:tcPr>
          <w:p w:rsidR="008A12CE" w:rsidRPr="000F331E" w:rsidRDefault="008A12CE" w:rsidP="008A12CE"/>
        </w:tc>
        <w:tc>
          <w:tcPr>
            <w:tcW w:w="809" w:type="dxa"/>
          </w:tcPr>
          <w:p w:rsidR="008A12CE" w:rsidRPr="000F331E" w:rsidRDefault="008A12CE" w:rsidP="008A12CE">
            <w:r w:rsidRPr="000F331E">
              <w:t>Juris</w:t>
            </w:r>
          </w:p>
        </w:tc>
        <w:tc>
          <w:tcPr>
            <w:tcW w:w="900" w:type="dxa"/>
          </w:tcPr>
          <w:p w:rsidR="008A12CE" w:rsidRPr="000F331E" w:rsidRDefault="008A12CE" w:rsidP="008A12CE">
            <w:proofErr w:type="spellStart"/>
            <w:r w:rsidRPr="000F331E">
              <w:t>Rg</w:t>
            </w:r>
            <w:proofErr w:type="spellEnd"/>
            <w:r w:rsidRPr="000F331E">
              <w:t xml:space="preserve"> </w:t>
            </w:r>
            <w:proofErr w:type="spellStart"/>
            <w:r w:rsidRPr="000F331E">
              <w:t>Serv</w:t>
            </w:r>
            <w:proofErr w:type="spellEnd"/>
          </w:p>
        </w:tc>
        <w:tc>
          <w:tcPr>
            <w:tcW w:w="810" w:type="dxa"/>
          </w:tcPr>
          <w:p w:rsidR="008A12CE" w:rsidRPr="000F331E" w:rsidRDefault="008A12CE" w:rsidP="008A12CE">
            <w:proofErr w:type="spellStart"/>
            <w:r w:rsidRPr="000F331E">
              <w:t>Emp</w:t>
            </w:r>
            <w:proofErr w:type="spellEnd"/>
          </w:p>
        </w:tc>
        <w:tc>
          <w:tcPr>
            <w:tcW w:w="630" w:type="dxa"/>
          </w:tcPr>
          <w:p w:rsidR="008A12CE" w:rsidRPr="000F331E" w:rsidRDefault="008A12CE" w:rsidP="008A12CE">
            <w:r w:rsidRPr="000F331E">
              <w:t>HS$</w:t>
            </w:r>
          </w:p>
        </w:tc>
        <w:tc>
          <w:tcPr>
            <w:tcW w:w="1170" w:type="dxa"/>
          </w:tcPr>
          <w:p w:rsidR="008A12CE" w:rsidRPr="000F331E" w:rsidRDefault="008A12CE" w:rsidP="008A12CE"/>
        </w:tc>
        <w:tc>
          <w:tcPr>
            <w:tcW w:w="1260" w:type="dxa"/>
          </w:tcPr>
          <w:p w:rsidR="008A12CE" w:rsidRPr="000F331E" w:rsidRDefault="008A12CE" w:rsidP="008A12CE"/>
        </w:tc>
      </w:tr>
      <w:tr w:rsidR="008A12CE" w:rsidRPr="000F331E" w:rsidTr="004A4150">
        <w:tc>
          <w:tcPr>
            <w:tcW w:w="1168" w:type="dxa"/>
          </w:tcPr>
          <w:p w:rsidR="008A12CE" w:rsidRPr="000F331E" w:rsidRDefault="008A12CE" w:rsidP="008A12CE">
            <w:r w:rsidRPr="000F331E">
              <w:t>Agency A</w:t>
            </w:r>
          </w:p>
        </w:tc>
        <w:tc>
          <w:tcPr>
            <w:tcW w:w="1168" w:type="dxa"/>
          </w:tcPr>
          <w:p w:rsidR="008A12CE" w:rsidRPr="000F331E" w:rsidRDefault="008A12CE" w:rsidP="004A4150">
            <w:pPr>
              <w:jc w:val="right"/>
            </w:pPr>
            <w:r w:rsidRPr="000F331E">
              <w:t>$50,000</w:t>
            </w:r>
          </w:p>
        </w:tc>
        <w:tc>
          <w:tcPr>
            <w:tcW w:w="809" w:type="dxa"/>
          </w:tcPr>
          <w:p w:rsidR="008A12CE" w:rsidRPr="000F331E" w:rsidRDefault="008A12CE" w:rsidP="008A12CE"/>
        </w:tc>
        <w:tc>
          <w:tcPr>
            <w:tcW w:w="900" w:type="dxa"/>
          </w:tcPr>
          <w:p w:rsidR="008A12CE" w:rsidRPr="000F331E" w:rsidRDefault="008A12CE" w:rsidP="008A12CE"/>
        </w:tc>
        <w:tc>
          <w:tcPr>
            <w:tcW w:w="810" w:type="dxa"/>
          </w:tcPr>
          <w:p w:rsidR="008A12CE" w:rsidRPr="000F331E" w:rsidRDefault="008A12CE" w:rsidP="008A12CE"/>
        </w:tc>
        <w:tc>
          <w:tcPr>
            <w:tcW w:w="630" w:type="dxa"/>
          </w:tcPr>
          <w:p w:rsidR="008A12CE" w:rsidRPr="000F331E" w:rsidRDefault="008A12CE" w:rsidP="008A12CE"/>
        </w:tc>
        <w:tc>
          <w:tcPr>
            <w:tcW w:w="1170" w:type="dxa"/>
          </w:tcPr>
          <w:p w:rsidR="008A12CE" w:rsidRPr="000F331E" w:rsidRDefault="008A12CE" w:rsidP="004A4150">
            <w:pPr>
              <w:jc w:val="right"/>
            </w:pPr>
            <w:r w:rsidRPr="000F331E">
              <w:t>0</w:t>
            </w:r>
          </w:p>
        </w:tc>
        <w:tc>
          <w:tcPr>
            <w:tcW w:w="1260" w:type="dxa"/>
          </w:tcPr>
          <w:p w:rsidR="008A12CE" w:rsidRPr="000F331E" w:rsidRDefault="008A12CE" w:rsidP="004A4150">
            <w:pPr>
              <w:jc w:val="right"/>
            </w:pPr>
            <w:r w:rsidRPr="000F331E">
              <w:t>$50,000</w:t>
            </w:r>
          </w:p>
        </w:tc>
      </w:tr>
      <w:tr w:rsidR="008A12CE" w:rsidRPr="000F331E" w:rsidTr="004A4150">
        <w:tc>
          <w:tcPr>
            <w:tcW w:w="1168" w:type="dxa"/>
          </w:tcPr>
          <w:p w:rsidR="008A12CE" w:rsidRPr="000F331E" w:rsidRDefault="008A12CE" w:rsidP="008A12CE">
            <w:r w:rsidRPr="000F331E">
              <w:t>Agency B</w:t>
            </w:r>
          </w:p>
        </w:tc>
        <w:tc>
          <w:tcPr>
            <w:tcW w:w="1168" w:type="dxa"/>
          </w:tcPr>
          <w:p w:rsidR="008A12CE" w:rsidRPr="000F331E" w:rsidRDefault="008A12CE" w:rsidP="004A4150">
            <w:pPr>
              <w:jc w:val="right"/>
            </w:pPr>
            <w:r w:rsidRPr="000F331E">
              <w:t>$50,000</w:t>
            </w:r>
          </w:p>
        </w:tc>
        <w:tc>
          <w:tcPr>
            <w:tcW w:w="809" w:type="dxa"/>
          </w:tcPr>
          <w:p w:rsidR="008A12CE" w:rsidRPr="000F331E" w:rsidRDefault="008A12CE" w:rsidP="008A12CE">
            <w:r w:rsidRPr="000F331E">
              <w:t>1</w:t>
            </w:r>
          </w:p>
        </w:tc>
        <w:tc>
          <w:tcPr>
            <w:tcW w:w="900" w:type="dxa"/>
          </w:tcPr>
          <w:p w:rsidR="008A12CE" w:rsidRPr="000F331E" w:rsidRDefault="008A12CE" w:rsidP="008A12CE">
            <w:r w:rsidRPr="000F331E">
              <w:t>1</w:t>
            </w:r>
          </w:p>
        </w:tc>
        <w:tc>
          <w:tcPr>
            <w:tcW w:w="810" w:type="dxa"/>
          </w:tcPr>
          <w:p w:rsidR="008A12CE" w:rsidRPr="000F331E" w:rsidRDefault="008A12CE" w:rsidP="008A12CE"/>
        </w:tc>
        <w:tc>
          <w:tcPr>
            <w:tcW w:w="630" w:type="dxa"/>
          </w:tcPr>
          <w:p w:rsidR="008A12CE" w:rsidRPr="000F331E" w:rsidRDefault="008A12CE" w:rsidP="008A12CE"/>
        </w:tc>
        <w:tc>
          <w:tcPr>
            <w:tcW w:w="1170" w:type="dxa"/>
          </w:tcPr>
          <w:p w:rsidR="008A12CE" w:rsidRPr="000F331E" w:rsidRDefault="008A12CE" w:rsidP="004A4150">
            <w:pPr>
              <w:jc w:val="right"/>
            </w:pPr>
            <w:r w:rsidRPr="000F331E">
              <w:t>$50,000</w:t>
            </w:r>
          </w:p>
        </w:tc>
        <w:tc>
          <w:tcPr>
            <w:tcW w:w="1260" w:type="dxa"/>
          </w:tcPr>
          <w:p w:rsidR="008A12CE" w:rsidRPr="000F331E" w:rsidRDefault="008A12CE" w:rsidP="004A4150">
            <w:pPr>
              <w:jc w:val="right"/>
            </w:pPr>
            <w:r w:rsidRPr="000F331E">
              <w:t>$100,000</w:t>
            </w:r>
          </w:p>
        </w:tc>
      </w:tr>
      <w:tr w:rsidR="008A12CE" w:rsidRPr="000F331E" w:rsidTr="004A4150">
        <w:tc>
          <w:tcPr>
            <w:tcW w:w="1168" w:type="dxa"/>
          </w:tcPr>
          <w:p w:rsidR="008A12CE" w:rsidRPr="000F331E" w:rsidRDefault="008A12CE" w:rsidP="008A12CE">
            <w:r w:rsidRPr="000F331E">
              <w:t>Agency C</w:t>
            </w:r>
          </w:p>
        </w:tc>
        <w:tc>
          <w:tcPr>
            <w:tcW w:w="1168" w:type="dxa"/>
          </w:tcPr>
          <w:p w:rsidR="008A12CE" w:rsidRPr="000F331E" w:rsidRDefault="008A12CE" w:rsidP="004A4150">
            <w:pPr>
              <w:jc w:val="right"/>
            </w:pPr>
            <w:r w:rsidRPr="000F331E">
              <w:t>$50,000</w:t>
            </w:r>
          </w:p>
        </w:tc>
        <w:tc>
          <w:tcPr>
            <w:tcW w:w="809" w:type="dxa"/>
          </w:tcPr>
          <w:p w:rsidR="008A12CE" w:rsidRPr="000F331E" w:rsidRDefault="008A12CE" w:rsidP="008A12CE">
            <w:r w:rsidRPr="000F331E">
              <w:t>2</w:t>
            </w:r>
          </w:p>
        </w:tc>
        <w:tc>
          <w:tcPr>
            <w:tcW w:w="900" w:type="dxa"/>
          </w:tcPr>
          <w:p w:rsidR="008A12CE" w:rsidRPr="000F331E" w:rsidRDefault="008A12CE" w:rsidP="008A12CE"/>
        </w:tc>
        <w:tc>
          <w:tcPr>
            <w:tcW w:w="810" w:type="dxa"/>
          </w:tcPr>
          <w:p w:rsidR="008A12CE" w:rsidRPr="000F331E" w:rsidRDefault="008A12CE" w:rsidP="008A12CE"/>
        </w:tc>
        <w:tc>
          <w:tcPr>
            <w:tcW w:w="630" w:type="dxa"/>
          </w:tcPr>
          <w:p w:rsidR="008A12CE" w:rsidRPr="000F331E" w:rsidRDefault="008A12CE" w:rsidP="008A12CE"/>
        </w:tc>
        <w:tc>
          <w:tcPr>
            <w:tcW w:w="1170" w:type="dxa"/>
          </w:tcPr>
          <w:p w:rsidR="008A12CE" w:rsidRPr="000F331E" w:rsidRDefault="008A12CE" w:rsidP="004A4150">
            <w:pPr>
              <w:jc w:val="right"/>
            </w:pPr>
            <w:r w:rsidRPr="000F331E">
              <w:t>$50,000</w:t>
            </w:r>
          </w:p>
        </w:tc>
        <w:tc>
          <w:tcPr>
            <w:tcW w:w="1260" w:type="dxa"/>
          </w:tcPr>
          <w:p w:rsidR="008A12CE" w:rsidRPr="000F331E" w:rsidRDefault="008A12CE" w:rsidP="004A4150">
            <w:pPr>
              <w:jc w:val="right"/>
            </w:pPr>
            <w:r w:rsidRPr="000F331E">
              <w:t>$150,000</w:t>
            </w:r>
          </w:p>
        </w:tc>
      </w:tr>
      <w:tr w:rsidR="008A12CE" w:rsidRPr="000F331E" w:rsidTr="004A4150">
        <w:tc>
          <w:tcPr>
            <w:tcW w:w="1168" w:type="dxa"/>
          </w:tcPr>
          <w:p w:rsidR="008A12CE" w:rsidRPr="000F331E" w:rsidRDefault="008A12CE" w:rsidP="008A12CE"/>
        </w:tc>
        <w:tc>
          <w:tcPr>
            <w:tcW w:w="1168" w:type="dxa"/>
          </w:tcPr>
          <w:p w:rsidR="008A12CE" w:rsidRPr="000F331E" w:rsidRDefault="008A12CE" w:rsidP="008A12CE"/>
        </w:tc>
        <w:tc>
          <w:tcPr>
            <w:tcW w:w="3149" w:type="dxa"/>
            <w:gridSpan w:val="4"/>
          </w:tcPr>
          <w:p w:rsidR="008A12CE" w:rsidRPr="000F331E" w:rsidRDefault="00A37D94" w:rsidP="008A12CE">
            <w:r w:rsidRPr="000F331E">
              <w:t>*each “extra” is worth $25K</w:t>
            </w:r>
          </w:p>
        </w:tc>
        <w:tc>
          <w:tcPr>
            <w:tcW w:w="1170" w:type="dxa"/>
          </w:tcPr>
          <w:p w:rsidR="008A12CE" w:rsidRPr="000F331E" w:rsidRDefault="008A12CE" w:rsidP="008A12CE"/>
        </w:tc>
        <w:tc>
          <w:tcPr>
            <w:tcW w:w="1260" w:type="dxa"/>
          </w:tcPr>
          <w:p w:rsidR="008A12CE" w:rsidRPr="000F331E" w:rsidRDefault="008A12CE" w:rsidP="008A12CE"/>
        </w:tc>
      </w:tr>
    </w:tbl>
    <w:p w:rsidR="008A12CE" w:rsidRPr="000F331E" w:rsidRDefault="008A12CE" w:rsidP="008A12CE"/>
    <w:p w:rsidR="004222C1" w:rsidRPr="000F331E" w:rsidRDefault="004222C1" w:rsidP="004222C1">
      <w:pPr>
        <w:spacing w:after="0" w:line="240" w:lineRule="auto"/>
        <w:rPr>
          <w:rFonts w:eastAsia="Times New Roman" w:cs="Times New Roman"/>
          <w:b/>
          <w:sz w:val="24"/>
          <w:szCs w:val="24"/>
        </w:rPr>
      </w:pPr>
      <w:r w:rsidRPr="000F331E">
        <w:rPr>
          <w:rFonts w:eastAsia="Times New Roman" w:cs="Arial"/>
          <w:b/>
          <w:color w:val="000000"/>
        </w:rPr>
        <w:t>Discussion Items around this emerging solution:</w:t>
      </w:r>
    </w:p>
    <w:p w:rsidR="00044983" w:rsidRPr="000F331E" w:rsidRDefault="00044983" w:rsidP="004A4150">
      <w:pPr>
        <w:spacing w:after="0" w:line="240" w:lineRule="auto"/>
        <w:textAlignment w:val="baseline"/>
        <w:rPr>
          <w:rFonts w:eastAsia="Times New Roman" w:cs="Arial"/>
          <w:color w:val="000000"/>
        </w:rPr>
      </w:pPr>
    </w:p>
    <w:p w:rsidR="004222C1" w:rsidRPr="000F331E" w:rsidRDefault="004222C1" w:rsidP="004A4150">
      <w:pPr>
        <w:spacing w:after="0" w:line="240" w:lineRule="auto"/>
        <w:textAlignment w:val="baseline"/>
        <w:rPr>
          <w:rFonts w:eastAsia="Times New Roman" w:cs="Arial"/>
          <w:color w:val="000000"/>
        </w:rPr>
      </w:pPr>
      <w:r w:rsidRPr="000F331E">
        <w:rPr>
          <w:rFonts w:eastAsia="Times New Roman" w:cs="Arial"/>
          <w:color w:val="000000"/>
        </w:rPr>
        <w:t>Size categories</w:t>
      </w:r>
    </w:p>
    <w:p w:rsidR="00F9191B" w:rsidRPr="00F9191B" w:rsidRDefault="00F9191B" w:rsidP="000C69F2">
      <w:pPr>
        <w:pStyle w:val="ListParagraph"/>
        <w:numPr>
          <w:ilvl w:val="0"/>
          <w:numId w:val="7"/>
        </w:numPr>
        <w:spacing w:after="0" w:line="240" w:lineRule="auto"/>
        <w:textAlignment w:val="baseline"/>
        <w:rPr>
          <w:rFonts w:eastAsia="Times New Roman" w:cs="Arial"/>
        </w:rPr>
      </w:pPr>
      <w:r>
        <w:rPr>
          <w:rFonts w:eastAsia="Times New Roman" w:cs="Arial"/>
          <w:color w:val="000000"/>
        </w:rPr>
        <w:t>Sizing is critical -- a</w:t>
      </w:r>
      <w:bookmarkStart w:id="0" w:name="_GoBack"/>
      <w:bookmarkEnd w:id="0"/>
      <w:r w:rsidR="004222C1" w:rsidRPr="00F9191B">
        <w:rPr>
          <w:rFonts w:eastAsia="Times New Roman" w:cs="Arial"/>
          <w:color w:val="000000"/>
        </w:rPr>
        <w:t xml:space="preserve">gencies </w:t>
      </w:r>
      <w:r>
        <w:rPr>
          <w:rFonts w:eastAsia="Times New Roman" w:cs="Arial"/>
          <w:color w:val="000000"/>
        </w:rPr>
        <w:t xml:space="preserve">that are not sized properly </w:t>
      </w:r>
      <w:r w:rsidR="004222C1" w:rsidRPr="00F9191B">
        <w:rPr>
          <w:rFonts w:eastAsia="Times New Roman" w:cs="Arial"/>
          <w:color w:val="000000"/>
        </w:rPr>
        <w:t xml:space="preserve">their awards could be dramatically </w:t>
      </w:r>
      <w:r>
        <w:rPr>
          <w:rFonts w:eastAsia="Times New Roman" w:cs="Arial"/>
          <w:color w:val="000000"/>
        </w:rPr>
        <w:t xml:space="preserve">impacted.  </w:t>
      </w:r>
    </w:p>
    <w:p w:rsidR="004222C1" w:rsidRPr="00F9191B" w:rsidRDefault="004222C1" w:rsidP="000C69F2">
      <w:pPr>
        <w:pStyle w:val="ListParagraph"/>
        <w:numPr>
          <w:ilvl w:val="0"/>
          <w:numId w:val="7"/>
        </w:numPr>
        <w:spacing w:after="0" w:line="240" w:lineRule="auto"/>
        <w:textAlignment w:val="baseline"/>
        <w:rPr>
          <w:rFonts w:eastAsia="Times New Roman" w:cs="Arial"/>
        </w:rPr>
      </w:pPr>
      <w:r w:rsidRPr="00F9191B">
        <w:rPr>
          <w:rFonts w:eastAsia="Times New Roman" w:cs="Arial"/>
        </w:rPr>
        <w:t>Should 5307 recipi</w:t>
      </w:r>
      <w:r w:rsidR="00F9191B">
        <w:rPr>
          <w:rFonts w:eastAsia="Times New Roman" w:cs="Arial"/>
        </w:rPr>
        <w:t xml:space="preserve">ents be eligible for the “medium” </w:t>
      </w:r>
      <w:r w:rsidRPr="00F9191B">
        <w:rPr>
          <w:rFonts w:eastAsia="Times New Roman" w:cs="Arial"/>
        </w:rPr>
        <w:t xml:space="preserve">category? </w:t>
      </w:r>
    </w:p>
    <w:p w:rsidR="00044983" w:rsidRPr="000F331E" w:rsidRDefault="00044983" w:rsidP="004A4150">
      <w:pPr>
        <w:pStyle w:val="ListParagraph"/>
        <w:numPr>
          <w:ilvl w:val="0"/>
          <w:numId w:val="7"/>
        </w:numPr>
        <w:spacing w:after="0" w:line="240" w:lineRule="auto"/>
        <w:textAlignment w:val="baseline"/>
        <w:rPr>
          <w:rFonts w:eastAsia="Times New Roman" w:cs="Arial"/>
          <w:i/>
        </w:rPr>
      </w:pPr>
      <w:r w:rsidRPr="000F331E">
        <w:rPr>
          <w:rFonts w:eastAsia="Times New Roman" w:cs="Arial"/>
          <w:i/>
        </w:rPr>
        <w:t xml:space="preserve">Are the size categories appropriate?  </w:t>
      </w:r>
    </w:p>
    <w:p w:rsidR="00044983" w:rsidRPr="000F331E" w:rsidRDefault="00044983" w:rsidP="004A4150">
      <w:pPr>
        <w:pStyle w:val="ListParagraph"/>
        <w:numPr>
          <w:ilvl w:val="0"/>
          <w:numId w:val="7"/>
        </w:numPr>
        <w:spacing w:after="0" w:line="240" w:lineRule="auto"/>
        <w:textAlignment w:val="baseline"/>
        <w:rPr>
          <w:rFonts w:eastAsia="Times New Roman" w:cs="Arial"/>
          <w:i/>
        </w:rPr>
      </w:pPr>
      <w:r w:rsidRPr="000F331E">
        <w:rPr>
          <w:rFonts w:eastAsia="Times New Roman" w:cs="Arial"/>
          <w:i/>
        </w:rPr>
        <w:t xml:space="preserve">OR should we be looking at other criteria to categorize the agencies? </w:t>
      </w:r>
    </w:p>
    <w:p w:rsidR="004A4150" w:rsidRPr="000F331E" w:rsidRDefault="004A4150" w:rsidP="004A4150">
      <w:pPr>
        <w:spacing w:after="0" w:line="240" w:lineRule="auto"/>
        <w:textAlignment w:val="baseline"/>
        <w:rPr>
          <w:rFonts w:eastAsia="Times New Roman" w:cs="Arial"/>
        </w:rPr>
      </w:pPr>
    </w:p>
    <w:p w:rsidR="004222C1" w:rsidRPr="000F331E" w:rsidRDefault="004222C1" w:rsidP="004A4150">
      <w:pPr>
        <w:spacing w:after="0" w:line="240" w:lineRule="auto"/>
        <w:textAlignment w:val="baseline"/>
        <w:rPr>
          <w:rFonts w:eastAsia="Times New Roman" w:cs="Arial"/>
          <w:color w:val="000000"/>
        </w:rPr>
      </w:pPr>
      <w:r w:rsidRPr="000F331E">
        <w:rPr>
          <w:rFonts w:eastAsia="Times New Roman" w:cs="Arial"/>
          <w:color w:val="000000"/>
        </w:rPr>
        <w:t>Budget base</w:t>
      </w:r>
    </w:p>
    <w:p w:rsidR="004222C1" w:rsidRPr="000F331E" w:rsidRDefault="004222C1" w:rsidP="004A4150">
      <w:pPr>
        <w:pStyle w:val="ListParagraph"/>
        <w:numPr>
          <w:ilvl w:val="0"/>
          <w:numId w:val="8"/>
        </w:numPr>
        <w:spacing w:after="0" w:line="240" w:lineRule="auto"/>
        <w:textAlignment w:val="baseline"/>
        <w:rPr>
          <w:rFonts w:eastAsia="Times New Roman" w:cs="Arial"/>
          <w:color w:val="000000"/>
        </w:rPr>
      </w:pPr>
      <w:r w:rsidRPr="000F331E">
        <w:rPr>
          <w:rFonts w:eastAsia="Times New Roman" w:cs="Arial"/>
          <w:color w:val="000000"/>
        </w:rPr>
        <w:t xml:space="preserve">There are a few agencies that could lose 50% or more of their funding using a budget base.  Is there a way to make this more equitable-do we address the few and make it work or do we need to adjust the budget calculation </w:t>
      </w:r>
      <w:r w:rsidR="004A4150" w:rsidRPr="000F331E">
        <w:rPr>
          <w:rFonts w:eastAsia="Times New Roman" w:cs="Arial"/>
          <w:color w:val="000000"/>
        </w:rPr>
        <w:t>process?</w:t>
      </w:r>
    </w:p>
    <w:p w:rsidR="00044983" w:rsidRPr="000F331E" w:rsidRDefault="00044983" w:rsidP="00044983">
      <w:pPr>
        <w:pStyle w:val="ListParagraph"/>
        <w:spacing w:after="0" w:line="240" w:lineRule="auto"/>
        <w:textAlignment w:val="baseline"/>
        <w:rPr>
          <w:rFonts w:eastAsia="Times New Roman" w:cs="Arial"/>
          <w:color w:val="000000"/>
        </w:rPr>
      </w:pPr>
    </w:p>
    <w:p w:rsidR="004A4150" w:rsidRPr="000F331E" w:rsidRDefault="004A4150" w:rsidP="004A4150">
      <w:pPr>
        <w:spacing w:after="0" w:line="240" w:lineRule="auto"/>
        <w:textAlignment w:val="baseline"/>
        <w:rPr>
          <w:rFonts w:eastAsia="Times New Roman" w:cs="Arial"/>
          <w:color w:val="000000"/>
        </w:rPr>
      </w:pPr>
    </w:p>
    <w:p w:rsidR="004222C1" w:rsidRPr="000F331E" w:rsidRDefault="004222C1" w:rsidP="004A4150">
      <w:pPr>
        <w:spacing w:after="0" w:line="240" w:lineRule="auto"/>
        <w:textAlignment w:val="baseline"/>
        <w:rPr>
          <w:rFonts w:eastAsia="Times New Roman" w:cs="Arial"/>
          <w:color w:val="000000"/>
        </w:rPr>
      </w:pPr>
      <w:r w:rsidRPr="000F331E">
        <w:rPr>
          <w:rFonts w:eastAsia="Times New Roman" w:cs="Arial"/>
          <w:color w:val="000000"/>
        </w:rPr>
        <w:t>Extra factors</w:t>
      </w:r>
    </w:p>
    <w:p w:rsidR="004222C1" w:rsidRPr="000F331E" w:rsidRDefault="004222C1" w:rsidP="004A4150">
      <w:pPr>
        <w:pStyle w:val="ListParagraph"/>
        <w:numPr>
          <w:ilvl w:val="0"/>
          <w:numId w:val="8"/>
        </w:numPr>
        <w:spacing w:after="0" w:line="240" w:lineRule="auto"/>
        <w:textAlignment w:val="baseline"/>
        <w:rPr>
          <w:rFonts w:eastAsia="Times New Roman" w:cs="Arial"/>
          <w:color w:val="000000"/>
        </w:rPr>
      </w:pPr>
      <w:r w:rsidRPr="000F331E">
        <w:rPr>
          <w:rFonts w:eastAsia="Times New Roman" w:cs="Arial"/>
          <w:color w:val="000000"/>
        </w:rPr>
        <w:t>Should equity-justified service be accounted for in the Extra factors or earlier in the process?</w:t>
      </w:r>
    </w:p>
    <w:p w:rsidR="004222C1" w:rsidRPr="000F331E" w:rsidRDefault="004222C1" w:rsidP="004A4150">
      <w:pPr>
        <w:pStyle w:val="ListParagraph"/>
        <w:numPr>
          <w:ilvl w:val="0"/>
          <w:numId w:val="8"/>
        </w:numPr>
        <w:spacing w:after="0" w:line="240" w:lineRule="auto"/>
        <w:textAlignment w:val="baseline"/>
        <w:rPr>
          <w:rFonts w:eastAsia="Times New Roman" w:cs="Arial"/>
          <w:color w:val="000000"/>
        </w:rPr>
      </w:pPr>
      <w:r w:rsidRPr="000F331E">
        <w:rPr>
          <w:rFonts w:eastAsia="Times New Roman" w:cs="Arial"/>
          <w:color w:val="000000"/>
        </w:rPr>
        <w:t>Should each category have their own set of extra factors or should they be specific to each size category?</w:t>
      </w:r>
    </w:p>
    <w:p w:rsidR="004222C1" w:rsidRPr="000F331E" w:rsidRDefault="004222C1" w:rsidP="004A4150">
      <w:pPr>
        <w:pStyle w:val="ListParagraph"/>
        <w:numPr>
          <w:ilvl w:val="0"/>
          <w:numId w:val="8"/>
        </w:numPr>
        <w:spacing w:after="0" w:line="240" w:lineRule="auto"/>
        <w:textAlignment w:val="baseline"/>
        <w:rPr>
          <w:rFonts w:eastAsia="Times New Roman" w:cs="Arial"/>
          <w:color w:val="000000"/>
        </w:rPr>
      </w:pPr>
      <w:r w:rsidRPr="000F331E">
        <w:rPr>
          <w:rFonts w:eastAsia="Times New Roman" w:cs="Arial"/>
          <w:color w:val="000000"/>
        </w:rPr>
        <w:t xml:space="preserve">Some factors do not have clear data sources-would agency </w:t>
      </w:r>
      <w:r w:rsidR="004A4150" w:rsidRPr="000F331E">
        <w:rPr>
          <w:rFonts w:eastAsia="Times New Roman" w:cs="Arial"/>
          <w:color w:val="000000"/>
        </w:rPr>
        <w:t>self-reporting</w:t>
      </w:r>
      <w:r w:rsidRPr="000F331E">
        <w:rPr>
          <w:rFonts w:eastAsia="Times New Roman" w:cs="Arial"/>
          <w:color w:val="000000"/>
        </w:rPr>
        <w:t xml:space="preserve"> work in these cases?</w:t>
      </w:r>
    </w:p>
    <w:p w:rsidR="004222C1" w:rsidRPr="000F331E" w:rsidRDefault="004222C1" w:rsidP="004A4150">
      <w:pPr>
        <w:pStyle w:val="ListParagraph"/>
        <w:numPr>
          <w:ilvl w:val="0"/>
          <w:numId w:val="8"/>
        </w:numPr>
        <w:spacing w:after="0" w:line="240" w:lineRule="auto"/>
        <w:textAlignment w:val="baseline"/>
        <w:rPr>
          <w:rFonts w:eastAsia="Times New Roman" w:cs="Arial"/>
          <w:color w:val="000000"/>
        </w:rPr>
      </w:pPr>
      <w:r w:rsidRPr="000F331E">
        <w:rPr>
          <w:rFonts w:eastAsia="Times New Roman" w:cs="Arial"/>
          <w:color w:val="000000"/>
        </w:rPr>
        <w:t>Should there be a floor where agencies under a certain budget amount should be held harmless?</w:t>
      </w:r>
    </w:p>
    <w:p w:rsidR="004222C1" w:rsidRPr="000F331E" w:rsidRDefault="004222C1" w:rsidP="004A4150">
      <w:pPr>
        <w:pStyle w:val="ListParagraph"/>
        <w:numPr>
          <w:ilvl w:val="0"/>
          <w:numId w:val="8"/>
        </w:numPr>
        <w:spacing w:after="0" w:line="240" w:lineRule="auto"/>
        <w:textAlignment w:val="baseline"/>
        <w:rPr>
          <w:rFonts w:eastAsia="Times New Roman" w:cs="Arial"/>
          <w:color w:val="000000"/>
        </w:rPr>
      </w:pPr>
      <w:r w:rsidRPr="000F331E">
        <w:rPr>
          <w:rFonts w:eastAsia="Times New Roman" w:cs="Arial"/>
          <w:color w:val="000000"/>
        </w:rPr>
        <w:lastRenderedPageBreak/>
        <w:t xml:space="preserve">How can we ensure that the extra factors are allotted fairly? Can we make specific enough criteria for each factor that it is </w:t>
      </w:r>
      <w:r w:rsidR="004A4150" w:rsidRPr="000F331E">
        <w:rPr>
          <w:rFonts w:eastAsia="Times New Roman" w:cs="Arial"/>
          <w:color w:val="000000"/>
        </w:rPr>
        <w:t>clear</w:t>
      </w:r>
      <w:r w:rsidRPr="000F331E">
        <w:rPr>
          <w:rFonts w:eastAsia="Times New Roman" w:cs="Arial"/>
          <w:color w:val="000000"/>
        </w:rPr>
        <w:t xml:space="preserve"> to CDOT how the points will be allocated and to agencies what they can do to achieve more points</w:t>
      </w:r>
    </w:p>
    <w:p w:rsidR="004222C1" w:rsidRPr="000F331E" w:rsidRDefault="004222C1" w:rsidP="004A4150">
      <w:pPr>
        <w:pStyle w:val="ListParagraph"/>
        <w:numPr>
          <w:ilvl w:val="0"/>
          <w:numId w:val="8"/>
        </w:numPr>
        <w:spacing w:after="0" w:line="240" w:lineRule="auto"/>
        <w:textAlignment w:val="baseline"/>
        <w:rPr>
          <w:rFonts w:eastAsia="Times New Roman" w:cs="Arial"/>
          <w:color w:val="000000"/>
        </w:rPr>
      </w:pPr>
      <w:r w:rsidRPr="000F331E">
        <w:rPr>
          <w:rFonts w:eastAsia="Times New Roman" w:cs="Arial"/>
          <w:color w:val="000000"/>
        </w:rPr>
        <w:t xml:space="preserve">Should the transition plan have a percentage on either end?  For </w:t>
      </w:r>
      <w:r w:rsidR="004A4150" w:rsidRPr="000F331E">
        <w:rPr>
          <w:rFonts w:eastAsia="Times New Roman" w:cs="Arial"/>
          <w:color w:val="000000"/>
        </w:rPr>
        <w:t>instance,</w:t>
      </w:r>
      <w:r w:rsidRPr="000F331E">
        <w:rPr>
          <w:rFonts w:eastAsia="Times New Roman" w:cs="Arial"/>
          <w:color w:val="000000"/>
        </w:rPr>
        <w:t xml:space="preserve"> no agency could get a funding increase of more than 5% or </w:t>
      </w:r>
      <w:r w:rsidR="004A4150" w:rsidRPr="000F331E">
        <w:rPr>
          <w:rFonts w:eastAsia="Times New Roman" w:cs="Arial"/>
          <w:color w:val="000000"/>
        </w:rPr>
        <w:t>lose</w:t>
      </w:r>
      <w:r w:rsidRPr="000F331E">
        <w:rPr>
          <w:rFonts w:eastAsia="Times New Roman" w:cs="Arial"/>
          <w:color w:val="000000"/>
        </w:rPr>
        <w:t xml:space="preserve"> more than 5% of their funding as we transition.</w:t>
      </w:r>
    </w:p>
    <w:p w:rsidR="004222C1" w:rsidRPr="000F331E" w:rsidRDefault="004222C1" w:rsidP="004A4150">
      <w:pPr>
        <w:pStyle w:val="ListParagraph"/>
        <w:numPr>
          <w:ilvl w:val="0"/>
          <w:numId w:val="8"/>
        </w:numPr>
        <w:spacing w:after="0" w:line="240" w:lineRule="auto"/>
        <w:textAlignment w:val="baseline"/>
        <w:rPr>
          <w:rFonts w:eastAsia="Times New Roman" w:cs="Arial"/>
        </w:rPr>
      </w:pPr>
      <w:r w:rsidRPr="000F331E">
        <w:rPr>
          <w:rFonts w:eastAsia="Times New Roman" w:cs="Arial"/>
          <w:color w:val="000000"/>
        </w:rPr>
        <w:t>Would agencies be able to come up with the local match if they a large funding increase?</w:t>
      </w:r>
    </w:p>
    <w:p w:rsidR="004222C1" w:rsidRPr="000F331E" w:rsidRDefault="004222C1" w:rsidP="004A4150">
      <w:pPr>
        <w:pStyle w:val="ListParagraph"/>
        <w:numPr>
          <w:ilvl w:val="0"/>
          <w:numId w:val="8"/>
        </w:numPr>
        <w:spacing w:after="0" w:line="240" w:lineRule="auto"/>
        <w:textAlignment w:val="baseline"/>
        <w:rPr>
          <w:rFonts w:eastAsia="Times New Roman" w:cs="Arial"/>
        </w:rPr>
      </w:pPr>
      <w:r w:rsidRPr="000F331E">
        <w:rPr>
          <w:rFonts w:eastAsia="Times New Roman" w:cs="Arial"/>
        </w:rPr>
        <w:t>Should agencies receiving large funding increases have to go through some process to demonstrate need</w:t>
      </w:r>
    </w:p>
    <w:p w:rsidR="00044983" w:rsidRPr="000F331E" w:rsidRDefault="00044983" w:rsidP="004A4150">
      <w:pPr>
        <w:pStyle w:val="ListParagraph"/>
        <w:numPr>
          <w:ilvl w:val="0"/>
          <w:numId w:val="8"/>
        </w:numPr>
        <w:spacing w:after="0" w:line="240" w:lineRule="auto"/>
        <w:textAlignment w:val="baseline"/>
        <w:rPr>
          <w:rFonts w:eastAsia="Times New Roman" w:cs="Arial"/>
        </w:rPr>
      </w:pPr>
      <w:r w:rsidRPr="000F331E">
        <w:rPr>
          <w:rFonts w:eastAsia="Times New Roman" w:cs="Arial"/>
        </w:rPr>
        <w:t>OR is this type of formula to subjective and will it end up getting us back to the same scenario we are in today?</w:t>
      </w:r>
    </w:p>
    <w:p w:rsidR="00A37D94" w:rsidRPr="000F331E" w:rsidRDefault="00A37D94" w:rsidP="008A12CE"/>
    <w:p w:rsidR="00044983" w:rsidRPr="000F331E" w:rsidRDefault="00044983" w:rsidP="008A12CE">
      <w:r w:rsidRPr="000F331E">
        <w:t xml:space="preserve">OTHER: </w:t>
      </w:r>
    </w:p>
    <w:p w:rsidR="00044983" w:rsidRPr="000F331E" w:rsidRDefault="00044983" w:rsidP="00044983">
      <w:pPr>
        <w:pStyle w:val="ListParagraph"/>
        <w:numPr>
          <w:ilvl w:val="0"/>
          <w:numId w:val="9"/>
        </w:numPr>
      </w:pPr>
      <w:r w:rsidRPr="000F331E">
        <w:t xml:space="preserve">Should it be required that local investment (match) stay at the same levels if an agency gets an increase in grant funds.  </w:t>
      </w:r>
    </w:p>
    <w:p w:rsidR="00044983" w:rsidRPr="000F331E" w:rsidRDefault="00044983" w:rsidP="00044983">
      <w:pPr>
        <w:pStyle w:val="ListParagraph"/>
        <w:numPr>
          <w:ilvl w:val="0"/>
          <w:numId w:val="9"/>
        </w:numPr>
      </w:pPr>
      <w:r w:rsidRPr="000F331E">
        <w:t xml:space="preserve">What are appropriate timelines for transition plans?   </w:t>
      </w:r>
    </w:p>
    <w:p w:rsidR="00044983" w:rsidRPr="000F331E" w:rsidRDefault="00044983" w:rsidP="00044983">
      <w:pPr>
        <w:pStyle w:val="ListParagraph"/>
        <w:numPr>
          <w:ilvl w:val="0"/>
          <w:numId w:val="9"/>
        </w:numPr>
      </w:pPr>
      <w:r w:rsidRPr="000F331E">
        <w:t xml:space="preserve">For transition plan at what rate should funding cuts be </w:t>
      </w:r>
      <w:r w:rsidR="000F331E" w:rsidRPr="000F331E">
        <w:t>phased?</w:t>
      </w:r>
      <w:r w:rsidRPr="000F331E">
        <w:t xml:space="preserve">  Percentage per year e.g. 3% year 1, 5% year 2, 5% year 3, 7% year 4, 10% year 5,   </w:t>
      </w:r>
      <w:proofErr w:type="spellStart"/>
      <w:r w:rsidRPr="000F331E">
        <w:t>etc</w:t>
      </w:r>
      <w:proofErr w:type="spellEnd"/>
      <w:r w:rsidRPr="000F331E">
        <w:t xml:space="preserve">…. until an agency reached final funding amount?  </w:t>
      </w:r>
    </w:p>
    <w:p w:rsidR="00044983" w:rsidRPr="000F331E" w:rsidRDefault="00044983" w:rsidP="00044983">
      <w:pPr>
        <w:pStyle w:val="ListParagraph"/>
        <w:numPr>
          <w:ilvl w:val="0"/>
          <w:numId w:val="9"/>
        </w:numPr>
      </w:pPr>
      <w:r w:rsidRPr="000F331E">
        <w:t xml:space="preserve">Should this be the same for increases? </w:t>
      </w:r>
    </w:p>
    <w:sectPr w:rsidR="00044983" w:rsidRPr="000F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105"/>
    <w:multiLevelType w:val="multilevel"/>
    <w:tmpl w:val="55AC1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54EAB"/>
    <w:multiLevelType w:val="hybridMultilevel"/>
    <w:tmpl w:val="B79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1E18"/>
    <w:multiLevelType w:val="hybridMultilevel"/>
    <w:tmpl w:val="6F40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C7A3A"/>
    <w:multiLevelType w:val="multilevel"/>
    <w:tmpl w:val="55AC1E7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58795C9A"/>
    <w:multiLevelType w:val="multilevel"/>
    <w:tmpl w:val="8A426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C651E"/>
    <w:multiLevelType w:val="hybridMultilevel"/>
    <w:tmpl w:val="D83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4"/>
    <w:lvlOverride w:ilvl="1">
      <w:lvl w:ilvl="1">
        <w:numFmt w:val="lowerLetter"/>
        <w:lvlText w:val="%2."/>
        <w:lvlJc w:val="left"/>
      </w:lvl>
    </w:lvlOverride>
  </w:num>
  <w:num w:numId="5">
    <w:abstractNumId w:val="4"/>
    <w:lvlOverride w:ilvl="1">
      <w:lvl w:ilvl="1">
        <w:numFmt w:val="lowerLetter"/>
        <w:lvlText w:val="%2."/>
        <w:lvlJc w:val="left"/>
      </w:lvl>
    </w:lvlOverride>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2F"/>
    <w:rsid w:val="00044983"/>
    <w:rsid w:val="000F331E"/>
    <w:rsid w:val="001665B8"/>
    <w:rsid w:val="0036545C"/>
    <w:rsid w:val="003F78F4"/>
    <w:rsid w:val="004222C1"/>
    <w:rsid w:val="004A4150"/>
    <w:rsid w:val="005C012F"/>
    <w:rsid w:val="008A12CE"/>
    <w:rsid w:val="00A37D94"/>
    <w:rsid w:val="00CB1B33"/>
    <w:rsid w:val="00D509B1"/>
    <w:rsid w:val="00E37D0A"/>
    <w:rsid w:val="00F9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4B36"/>
  <w15:chartTrackingRefBased/>
  <w15:docId w15:val="{AD6B3B58-F2C4-4950-91D5-AD1CA7E7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12F"/>
    <w:pPr>
      <w:ind w:left="720"/>
      <w:contextualSpacing/>
    </w:pPr>
  </w:style>
  <w:style w:type="table" w:styleId="TableGrid">
    <w:name w:val="Table Grid"/>
    <w:basedOn w:val="TableNormal"/>
    <w:uiPriority w:val="39"/>
    <w:rsid w:val="008A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4370">
      <w:bodyDiv w:val="1"/>
      <w:marLeft w:val="0"/>
      <w:marRight w:val="0"/>
      <w:marTop w:val="0"/>
      <w:marBottom w:val="0"/>
      <w:divBdr>
        <w:top w:val="none" w:sz="0" w:space="0" w:color="auto"/>
        <w:left w:val="none" w:sz="0" w:space="0" w:color="auto"/>
        <w:bottom w:val="none" w:sz="0" w:space="0" w:color="auto"/>
        <w:right w:val="none" w:sz="0" w:space="0" w:color="auto"/>
      </w:divBdr>
    </w:div>
    <w:div w:id="419570507">
      <w:bodyDiv w:val="1"/>
      <w:marLeft w:val="0"/>
      <w:marRight w:val="0"/>
      <w:marTop w:val="0"/>
      <w:marBottom w:val="0"/>
      <w:divBdr>
        <w:top w:val="none" w:sz="0" w:space="0" w:color="auto"/>
        <w:left w:val="none" w:sz="0" w:space="0" w:color="auto"/>
        <w:bottom w:val="none" w:sz="0" w:space="0" w:color="auto"/>
        <w:right w:val="none" w:sz="0" w:space="0" w:color="auto"/>
      </w:divBdr>
    </w:div>
    <w:div w:id="731927269">
      <w:bodyDiv w:val="1"/>
      <w:marLeft w:val="0"/>
      <w:marRight w:val="0"/>
      <w:marTop w:val="0"/>
      <w:marBottom w:val="0"/>
      <w:divBdr>
        <w:top w:val="none" w:sz="0" w:space="0" w:color="auto"/>
        <w:left w:val="none" w:sz="0" w:space="0" w:color="auto"/>
        <w:bottom w:val="none" w:sz="0" w:space="0" w:color="auto"/>
        <w:right w:val="none" w:sz="0" w:space="0" w:color="auto"/>
      </w:divBdr>
    </w:div>
    <w:div w:id="1091512360">
      <w:bodyDiv w:val="1"/>
      <w:marLeft w:val="0"/>
      <w:marRight w:val="0"/>
      <w:marTop w:val="0"/>
      <w:marBottom w:val="0"/>
      <w:divBdr>
        <w:top w:val="none" w:sz="0" w:space="0" w:color="auto"/>
        <w:left w:val="none" w:sz="0" w:space="0" w:color="auto"/>
        <w:bottom w:val="none" w:sz="0" w:space="0" w:color="auto"/>
        <w:right w:val="none" w:sz="0" w:space="0" w:color="auto"/>
      </w:divBdr>
    </w:div>
    <w:div w:id="1198005445">
      <w:bodyDiv w:val="1"/>
      <w:marLeft w:val="0"/>
      <w:marRight w:val="0"/>
      <w:marTop w:val="0"/>
      <w:marBottom w:val="0"/>
      <w:divBdr>
        <w:top w:val="none" w:sz="0" w:space="0" w:color="auto"/>
        <w:left w:val="none" w:sz="0" w:space="0" w:color="auto"/>
        <w:bottom w:val="none" w:sz="0" w:space="0" w:color="auto"/>
        <w:right w:val="none" w:sz="0" w:space="0" w:color="auto"/>
      </w:divBdr>
    </w:div>
    <w:div w:id="1505779919">
      <w:bodyDiv w:val="1"/>
      <w:marLeft w:val="0"/>
      <w:marRight w:val="0"/>
      <w:marTop w:val="0"/>
      <w:marBottom w:val="0"/>
      <w:divBdr>
        <w:top w:val="none" w:sz="0" w:space="0" w:color="auto"/>
        <w:left w:val="none" w:sz="0" w:space="0" w:color="auto"/>
        <w:bottom w:val="none" w:sz="0" w:space="0" w:color="auto"/>
        <w:right w:val="none" w:sz="0" w:space="0" w:color="auto"/>
      </w:divBdr>
    </w:div>
    <w:div w:id="1580871203">
      <w:bodyDiv w:val="1"/>
      <w:marLeft w:val="0"/>
      <w:marRight w:val="0"/>
      <w:marTop w:val="0"/>
      <w:marBottom w:val="0"/>
      <w:divBdr>
        <w:top w:val="none" w:sz="0" w:space="0" w:color="auto"/>
        <w:left w:val="none" w:sz="0" w:space="0" w:color="auto"/>
        <w:bottom w:val="none" w:sz="0" w:space="0" w:color="auto"/>
        <w:right w:val="none" w:sz="0" w:space="0" w:color="auto"/>
      </w:divBdr>
    </w:div>
    <w:div w:id="18674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Rajewski</dc:creator>
  <cp:keywords/>
  <dc:description/>
  <cp:lastModifiedBy>Ann Rajewski</cp:lastModifiedBy>
  <cp:revision>3</cp:revision>
  <dcterms:created xsi:type="dcterms:W3CDTF">2017-02-10T17:59:00Z</dcterms:created>
  <dcterms:modified xsi:type="dcterms:W3CDTF">2017-02-10T21:54:00Z</dcterms:modified>
</cp:coreProperties>
</file>